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213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5309B4E">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FADF773">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03.140</w:t>
            </w:r>
            <w:r>
              <w:rPr>
                <w:rFonts w:ascii="黑体" w:hAnsi="黑体" w:eastAsia="黑体"/>
                <w:sz w:val="21"/>
                <w:szCs w:val="21"/>
              </w:rPr>
              <w:t xml:space="preserve"> </w:t>
            </w:r>
            <w:r>
              <w:rPr>
                <w:rFonts w:ascii="黑体" w:hAnsi="黑体" w:eastAsia="黑体"/>
                <w:sz w:val="21"/>
                <w:szCs w:val="21"/>
              </w:rPr>
              <w:fldChar w:fldCharType="end"/>
            </w:r>
            <w:bookmarkEnd w:id="0"/>
          </w:p>
        </w:tc>
      </w:tr>
      <w:tr w14:paraId="7E67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CE27AB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206E8F6">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A </w:t>
            </w:r>
            <w:r>
              <w:rPr>
                <w:rFonts w:ascii="黑体" w:hAnsi="黑体" w:eastAsia="黑体"/>
                <w:sz w:val="21"/>
                <w:szCs w:val="21"/>
              </w:rPr>
              <w:t>1</w:t>
            </w:r>
            <w:r>
              <w:rPr>
                <w:rFonts w:hint="eastAsia" w:ascii="黑体" w:hAnsi="黑体" w:eastAsia="黑体"/>
                <w:sz w:val="21"/>
                <w:szCs w:val="21"/>
              </w:rPr>
              <w:t>0</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539860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95C37C6">
            <w:pPr>
              <w:pStyle w:val="52"/>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w:t>
            </w:r>
            <w:r>
              <w:fldChar w:fldCharType="end"/>
            </w:r>
            <w:bookmarkEnd w:id="3"/>
          </w:p>
        </w:tc>
      </w:tr>
    </w:tbl>
    <w:p w14:paraId="371A8891">
      <w:pPr>
        <w:pStyle w:val="53"/>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0D53783">
      <w:pPr>
        <w:pStyle w:val="198"/>
        <w:framePr/>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6FBC306">
      <w:pPr>
        <w:pStyle w:val="199"/>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531859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A2F9422">
      <w:pPr>
        <w:pStyle w:val="53"/>
        <w:framePr w:w="9639" w:h="6976" w:hRule="exact" w:hSpace="0" w:vSpace="0" w:wrap="around" w:hAnchor="page" w:y="6408"/>
        <w:jc w:val="center"/>
        <w:rPr>
          <w:rFonts w:ascii="黑体" w:hAnsi="黑体" w:eastAsia="黑体"/>
          <w:b w:val="0"/>
          <w:bCs w:val="0"/>
          <w:w w:val="100"/>
        </w:rPr>
      </w:pPr>
    </w:p>
    <w:p w14:paraId="13BE498E">
      <w:pPr>
        <w:pStyle w:val="20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企业商业秘密保护合规管理规范</w:t>
      </w:r>
      <w:r>
        <w:fldChar w:fldCharType="end"/>
      </w:r>
      <w:bookmarkEnd w:id="9"/>
    </w:p>
    <w:p w14:paraId="41DF84CF">
      <w:pPr>
        <w:framePr w:w="9639" w:h="6974" w:hRule="exact" w:wrap="around" w:vAnchor="page" w:hAnchor="page" w:x="1419" w:y="6408" w:anchorLock="1"/>
        <w:ind w:left="-1418"/>
      </w:pPr>
    </w:p>
    <w:p w14:paraId="42732D03">
      <w:pPr>
        <w:pStyle w:val="128"/>
        <w:framePr w:w="9639" w:h="6974" w:hRule="exact" w:wrap="around" w:vAnchor="page" w:hAnchor="page" w:x="1419" w:y="6408" w:anchorLock="1"/>
        <w:textAlignment w:val="bottom"/>
        <w:rPr>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Compliance management specification for enterprise trade secret</w:t>
      </w:r>
      <w:r>
        <w:rPr>
          <w:rFonts w:eastAsia="黑体"/>
          <w:szCs w:val="28"/>
        </w:rPr>
        <w:t xml:space="preserve"> protection</w:t>
      </w:r>
      <w:r>
        <w:rPr>
          <w:rFonts w:eastAsia="黑体"/>
          <w:szCs w:val="28"/>
        </w:rPr>
        <w:fldChar w:fldCharType="end"/>
      </w:r>
      <w:bookmarkEnd w:id="10"/>
    </w:p>
    <w:p w14:paraId="5619E2A0">
      <w:pPr>
        <w:framePr w:w="9639" w:h="6974" w:hRule="exact" w:wrap="around" w:vAnchor="page" w:hAnchor="page" w:x="1419" w:y="6408" w:anchorLock="1"/>
        <w:spacing w:line="760" w:lineRule="exact"/>
        <w:ind w:left="-1418"/>
      </w:pPr>
    </w:p>
    <w:p w14:paraId="106DEDB1">
      <w:pPr>
        <w:pStyle w:val="128"/>
        <w:framePr w:w="9639" w:h="6974" w:hRule="exact" w:wrap="around" w:vAnchor="page" w:hAnchor="page" w:x="1419" w:y="6408" w:anchorLock="1"/>
        <w:textAlignment w:val="bottom"/>
        <w:rPr>
          <w:rFonts w:eastAsia="黑体"/>
          <w:szCs w:val="28"/>
        </w:rPr>
      </w:pPr>
    </w:p>
    <w:p w14:paraId="666EC289">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EEA0F08">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6AAD46F">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78F7ED3">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A4F2A7F">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11C1E16">
      <w:pPr>
        <w:pStyle w:val="154"/>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广东省市场监督管理局</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0004F833">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ED0F132">
      <w:pPr>
        <w:pStyle w:val="94"/>
        <w:spacing w:after="468"/>
      </w:pPr>
      <w:bookmarkStart w:id="21" w:name="BookMark1"/>
      <w:bookmarkStart w:id="22" w:name="_Toc28381"/>
      <w:bookmarkStart w:id="23" w:name="_Toc214009857"/>
      <w:bookmarkStart w:id="24" w:name="_Toc5872"/>
      <w:bookmarkStart w:id="25" w:name="_Toc27243"/>
      <w:bookmarkStart w:id="26" w:name="_Toc11423"/>
      <w:bookmarkStart w:id="27" w:name="_Toc8637"/>
      <w:bookmarkStart w:id="28" w:name="_Toc30479"/>
      <w:bookmarkStart w:id="29" w:name="_Toc5381"/>
      <w:bookmarkStart w:id="30" w:name="_Toc214009890"/>
      <w:r>
        <w:rPr>
          <w:rFonts w:hint="eastAsia"/>
          <w:spacing w:val="320"/>
        </w:rPr>
        <w:t>目</w:t>
      </w:r>
      <w:r>
        <w:rPr>
          <w:rFonts w:hint="eastAsia"/>
        </w:rPr>
        <w:t>次</w:t>
      </w:r>
    </w:p>
    <w:p w14:paraId="0C548046">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"_Toc219723706" </w:instrText>
      </w:r>
      <w:r>
        <w:fldChar w:fldCharType="separate"/>
      </w:r>
      <w:r>
        <w:rPr>
          <w:rStyle w:val="34"/>
        </w:rPr>
        <w:t>前言</w:t>
      </w:r>
      <w:r>
        <w:tab/>
      </w:r>
      <w:r>
        <w:fldChar w:fldCharType="begin"/>
      </w:r>
      <w:r>
        <w:instrText xml:space="preserve"> PAGEREF _Toc219723706 \h </w:instrText>
      </w:r>
      <w:r>
        <w:fldChar w:fldCharType="separate"/>
      </w:r>
      <w:r>
        <w:t>II</w:t>
      </w:r>
      <w:r>
        <w:fldChar w:fldCharType="end"/>
      </w:r>
      <w:r>
        <w:fldChar w:fldCharType="end"/>
      </w:r>
    </w:p>
    <w:p w14:paraId="0D9819A3">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"_Toc219723707" </w:instrText>
      </w:r>
      <w:r>
        <w:fldChar w:fldCharType="separate"/>
      </w:r>
      <w:r>
        <w:rPr>
          <w:rStyle w:val="34"/>
        </w:rPr>
        <w:t>1  范围</w:t>
      </w:r>
      <w:r>
        <w:tab/>
      </w:r>
      <w:r>
        <w:fldChar w:fldCharType="begin"/>
      </w:r>
      <w:r>
        <w:instrText xml:space="preserve"> PAGEREF _Toc219723707 \h </w:instrText>
      </w:r>
      <w:r>
        <w:fldChar w:fldCharType="separate"/>
      </w:r>
      <w:r>
        <w:t>1</w:t>
      </w:r>
      <w:r>
        <w:fldChar w:fldCharType="end"/>
      </w:r>
      <w:r>
        <w:fldChar w:fldCharType="end"/>
      </w:r>
    </w:p>
    <w:p w14:paraId="4E8EB54D">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"_Toc219723708" </w:instrText>
      </w:r>
      <w:r>
        <w:fldChar w:fldCharType="separate"/>
      </w:r>
      <w:r>
        <w:rPr>
          <w:rStyle w:val="34"/>
        </w:rPr>
        <w:t>2  规范性引用文件</w:t>
      </w:r>
      <w:r>
        <w:tab/>
      </w:r>
      <w:r>
        <w:fldChar w:fldCharType="begin"/>
      </w:r>
      <w:r>
        <w:instrText xml:space="preserve"> PAGEREF _Toc219723708 \h </w:instrText>
      </w:r>
      <w:r>
        <w:fldChar w:fldCharType="separate"/>
      </w:r>
      <w:r>
        <w:t>1</w:t>
      </w:r>
      <w:r>
        <w:fldChar w:fldCharType="end"/>
      </w:r>
      <w:r>
        <w:fldChar w:fldCharType="end"/>
      </w:r>
    </w:p>
    <w:p w14:paraId="7A5908D9">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"_Toc219723709" </w:instrText>
      </w:r>
      <w:r>
        <w:fldChar w:fldCharType="separate"/>
      </w:r>
      <w:r>
        <w:rPr>
          <w:rStyle w:val="34"/>
        </w:rPr>
        <w:t>3  术语和定义</w:t>
      </w:r>
      <w:r>
        <w:tab/>
      </w:r>
      <w:r>
        <w:fldChar w:fldCharType="begin"/>
      </w:r>
      <w:r>
        <w:instrText xml:space="preserve"> PAGEREF _Toc219723709 \h </w:instrText>
      </w:r>
      <w:r>
        <w:fldChar w:fldCharType="separate"/>
      </w:r>
      <w:r>
        <w:t>1</w:t>
      </w:r>
      <w:r>
        <w:fldChar w:fldCharType="end"/>
      </w:r>
      <w:r>
        <w:fldChar w:fldCharType="end"/>
      </w:r>
    </w:p>
    <w:p w14:paraId="5814F69D">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"_Toc219723710" </w:instrText>
      </w:r>
      <w:r>
        <w:fldChar w:fldCharType="separate"/>
      </w:r>
      <w:r>
        <w:rPr>
          <w:rStyle w:val="34"/>
        </w:rPr>
        <w:t>4  总体原则</w:t>
      </w:r>
      <w:r>
        <w:tab/>
      </w:r>
      <w:r>
        <w:fldChar w:fldCharType="begin"/>
      </w:r>
      <w:r>
        <w:instrText xml:space="preserve"> PAGEREF _Toc219723710 \h </w:instrText>
      </w:r>
      <w:r>
        <w:fldChar w:fldCharType="separate"/>
      </w:r>
      <w:r>
        <w:t>1</w:t>
      </w:r>
      <w:r>
        <w:fldChar w:fldCharType="end"/>
      </w:r>
      <w:r>
        <w:fldChar w:fldCharType="end"/>
      </w:r>
    </w:p>
    <w:p w14:paraId="70EDB142">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"_Toc219723711" </w:instrText>
      </w:r>
      <w:r>
        <w:fldChar w:fldCharType="separate"/>
      </w:r>
      <w:r>
        <w:rPr>
          <w:rStyle w:val="34"/>
        </w:rPr>
        <w:t>5  合规管理组织和职责</w:t>
      </w:r>
      <w:r>
        <w:tab/>
      </w:r>
      <w:r>
        <w:fldChar w:fldCharType="begin"/>
      </w:r>
      <w:r>
        <w:instrText xml:space="preserve"> PAGEREF _Toc219723711 \h </w:instrText>
      </w:r>
      <w:r>
        <w:fldChar w:fldCharType="separate"/>
      </w:r>
      <w:r>
        <w:t>2</w:t>
      </w:r>
      <w:r>
        <w:fldChar w:fldCharType="end"/>
      </w:r>
      <w:r>
        <w:fldChar w:fldCharType="end"/>
      </w:r>
    </w:p>
    <w:p w14:paraId="3A9BDB5C">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"_Toc219723712" </w:instrText>
      </w:r>
      <w:r>
        <w:fldChar w:fldCharType="separate"/>
      </w:r>
      <w:r>
        <w:rPr>
          <w:rStyle w:val="34"/>
        </w:rPr>
        <w:t>6  商业秘密合规管理</w:t>
      </w:r>
      <w:r>
        <w:tab/>
      </w:r>
      <w:r>
        <w:fldChar w:fldCharType="begin"/>
      </w:r>
      <w:r>
        <w:instrText xml:space="preserve"> PAGEREF _Toc219723712 \h </w:instrText>
      </w:r>
      <w:r>
        <w:fldChar w:fldCharType="separate"/>
      </w:r>
      <w:r>
        <w:t>3</w:t>
      </w:r>
      <w:r>
        <w:fldChar w:fldCharType="end"/>
      </w:r>
      <w:r>
        <w:fldChar w:fldCharType="end"/>
      </w:r>
    </w:p>
    <w:p w14:paraId="05516D98">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"_Toc219723713" </w:instrText>
      </w:r>
      <w:r>
        <w:fldChar w:fldCharType="separate"/>
      </w:r>
      <w:r>
        <w:rPr>
          <w:rStyle w:val="34"/>
        </w:rPr>
        <w:t>7  涉密载体管理</w:t>
      </w:r>
      <w:r>
        <w:tab/>
      </w:r>
      <w:r>
        <w:fldChar w:fldCharType="begin"/>
      </w:r>
      <w:r>
        <w:instrText xml:space="preserve"> PAGEREF _Toc219723713 \h </w:instrText>
      </w:r>
      <w:r>
        <w:fldChar w:fldCharType="separate"/>
      </w:r>
      <w:r>
        <w:t>7</w:t>
      </w:r>
      <w:r>
        <w:fldChar w:fldCharType="end"/>
      </w:r>
      <w:r>
        <w:fldChar w:fldCharType="end"/>
      </w:r>
    </w:p>
    <w:p w14:paraId="0E4375F4">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"_Toc219723714" </w:instrText>
      </w:r>
      <w:r>
        <w:fldChar w:fldCharType="separate"/>
      </w:r>
      <w:r>
        <w:rPr>
          <w:rStyle w:val="34"/>
        </w:rPr>
        <w:t>8  涉密区域管理</w:t>
      </w:r>
      <w:r>
        <w:tab/>
      </w:r>
      <w:r>
        <w:fldChar w:fldCharType="begin"/>
      </w:r>
      <w:r>
        <w:instrText xml:space="preserve"> PAGEREF _Toc219723714 \h </w:instrText>
      </w:r>
      <w:r>
        <w:fldChar w:fldCharType="separate"/>
      </w:r>
      <w:r>
        <w:t>8</w:t>
      </w:r>
      <w:r>
        <w:fldChar w:fldCharType="end"/>
      </w:r>
      <w:r>
        <w:fldChar w:fldCharType="end"/>
      </w:r>
    </w:p>
    <w:p w14:paraId="19727F49">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"_Toc219723715" </w:instrText>
      </w:r>
      <w:r>
        <w:fldChar w:fldCharType="separate"/>
      </w:r>
      <w:r>
        <w:rPr>
          <w:rStyle w:val="34"/>
        </w:rPr>
        <w:t>9  人员管理</w:t>
      </w:r>
      <w:r>
        <w:tab/>
      </w:r>
      <w:r>
        <w:fldChar w:fldCharType="begin"/>
      </w:r>
      <w:r>
        <w:instrText xml:space="preserve"> PAGEREF _Toc219723715 \h </w:instrText>
      </w:r>
      <w:r>
        <w:fldChar w:fldCharType="separate"/>
      </w:r>
      <w:r>
        <w:t>9</w:t>
      </w:r>
      <w:r>
        <w:fldChar w:fldCharType="end"/>
      </w:r>
      <w:r>
        <w:fldChar w:fldCharType="end"/>
      </w:r>
    </w:p>
    <w:p w14:paraId="1D0A931D">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"_Toc219723716" </w:instrText>
      </w:r>
      <w:r>
        <w:fldChar w:fldCharType="separate"/>
      </w:r>
      <w:r>
        <w:rPr>
          <w:rStyle w:val="34"/>
        </w:rPr>
        <w:t>10  风险防范及应急处理</w:t>
      </w:r>
      <w:r>
        <w:tab/>
      </w:r>
      <w:r>
        <w:fldChar w:fldCharType="begin"/>
      </w:r>
      <w:r>
        <w:instrText xml:space="preserve"> PAGEREF _Toc219723716 \h </w:instrText>
      </w:r>
      <w:r>
        <w:fldChar w:fldCharType="separate"/>
      </w:r>
      <w:r>
        <w:t>11</w:t>
      </w:r>
      <w:r>
        <w:fldChar w:fldCharType="end"/>
      </w:r>
      <w:r>
        <w:fldChar w:fldCharType="end"/>
      </w:r>
    </w:p>
    <w:p w14:paraId="01C7842C">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"_Toc219723717" </w:instrText>
      </w:r>
      <w:r>
        <w:fldChar w:fldCharType="separate"/>
      </w:r>
      <w:r>
        <w:rPr>
          <w:rStyle w:val="34"/>
          <w:lang w:val="ca-ES"/>
        </w:rPr>
        <w:t xml:space="preserve">11 </w:t>
      </w:r>
      <w:r>
        <w:rPr>
          <w:rStyle w:val="34"/>
        </w:rPr>
        <w:t xml:space="preserve"> 维权途径</w:t>
      </w:r>
      <w:r>
        <w:tab/>
      </w:r>
      <w:r>
        <w:fldChar w:fldCharType="begin"/>
      </w:r>
      <w:r>
        <w:instrText xml:space="preserve"> PAGEREF _Toc219723717 \h </w:instrText>
      </w:r>
      <w:r>
        <w:fldChar w:fldCharType="separate"/>
      </w:r>
      <w:r>
        <w:t>12</w:t>
      </w:r>
      <w:r>
        <w:fldChar w:fldCharType="end"/>
      </w:r>
      <w:r>
        <w:fldChar w:fldCharType="end"/>
      </w:r>
    </w:p>
    <w:p w14:paraId="68400DEF">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"_Toc219723718" </w:instrText>
      </w:r>
      <w:r>
        <w:fldChar w:fldCharType="separate"/>
      </w:r>
      <w:r>
        <w:rPr>
          <w:rStyle w:val="34"/>
          <w:rFonts w:hAnsi="黑体" w:cs="黑体"/>
        </w:rPr>
        <w:t>附录A</w:t>
      </w:r>
      <w:r>
        <w:rPr>
          <w:rStyle w:val="34"/>
        </w:rPr>
        <w:t>（资料性）  员工入职保密承诺书</w:t>
      </w:r>
      <w:r>
        <w:tab/>
      </w:r>
      <w:r>
        <w:fldChar w:fldCharType="begin"/>
      </w:r>
      <w:r>
        <w:instrText xml:space="preserve"> PAGEREF _Toc219723718 \h </w:instrText>
      </w:r>
      <w:r>
        <w:fldChar w:fldCharType="separate"/>
      </w:r>
      <w:r>
        <w:t>14</w:t>
      </w:r>
      <w:r>
        <w:fldChar w:fldCharType="end"/>
      </w:r>
      <w:r>
        <w:fldChar w:fldCharType="end"/>
      </w:r>
    </w:p>
    <w:p w14:paraId="3467115D">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"_Toc219723719" </w:instrText>
      </w:r>
      <w:r>
        <w:fldChar w:fldCharType="separate"/>
      </w:r>
      <w:r>
        <w:rPr>
          <w:rStyle w:val="34"/>
          <w:rFonts w:hAnsi="黑体" w:cs="黑体"/>
        </w:rPr>
        <w:t>附录B</w:t>
      </w:r>
      <w:r>
        <w:rPr>
          <w:rStyle w:val="34"/>
        </w:rPr>
        <w:t>（资料性）  员工保密协议</w:t>
      </w:r>
      <w:r>
        <w:tab/>
      </w:r>
      <w:r>
        <w:fldChar w:fldCharType="begin"/>
      </w:r>
      <w:r>
        <w:instrText xml:space="preserve"> PAGEREF _Toc219723719 \h </w:instrText>
      </w:r>
      <w:r>
        <w:fldChar w:fldCharType="separate"/>
      </w:r>
      <w:r>
        <w:t>16</w:t>
      </w:r>
      <w:r>
        <w:fldChar w:fldCharType="end"/>
      </w:r>
      <w:r>
        <w:fldChar w:fldCharType="end"/>
      </w:r>
    </w:p>
    <w:p w14:paraId="6EDFA2CD">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"_Toc219723720" </w:instrText>
      </w:r>
      <w:r>
        <w:fldChar w:fldCharType="separate"/>
      </w:r>
      <w:r>
        <w:rPr>
          <w:rStyle w:val="34"/>
          <w:rFonts w:hAnsi="黑体" w:cs="黑体"/>
          <w:bCs/>
        </w:rPr>
        <w:t>附录C</w:t>
      </w:r>
      <w:r>
        <w:rPr>
          <w:rStyle w:val="34"/>
        </w:rPr>
        <w:t>（资料性）  竞业限制协议</w:t>
      </w:r>
      <w:r>
        <w:tab/>
      </w:r>
      <w:r>
        <w:fldChar w:fldCharType="begin"/>
      </w:r>
      <w:r>
        <w:instrText xml:space="preserve"> PAGEREF _Toc219723720 \h </w:instrText>
      </w:r>
      <w:r>
        <w:fldChar w:fldCharType="separate"/>
      </w:r>
      <w:r>
        <w:t>19</w:t>
      </w:r>
      <w:r>
        <w:fldChar w:fldCharType="end"/>
      </w:r>
      <w:r>
        <w:fldChar w:fldCharType="end"/>
      </w:r>
    </w:p>
    <w:p w14:paraId="0A3B756E">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"_Toc219723721" </w:instrText>
      </w:r>
      <w:r>
        <w:fldChar w:fldCharType="separate"/>
      </w:r>
      <w:r>
        <w:rPr>
          <w:rStyle w:val="34"/>
          <w:rFonts w:hAnsi="黑体" w:cs="黑体"/>
        </w:rPr>
        <w:t>附录D</w:t>
      </w:r>
      <w:r>
        <w:rPr>
          <w:rStyle w:val="34"/>
        </w:rPr>
        <w:t>（资料性）  员工离职保密协议</w:t>
      </w:r>
      <w:r>
        <w:tab/>
      </w:r>
      <w:r>
        <w:fldChar w:fldCharType="begin"/>
      </w:r>
      <w:r>
        <w:instrText xml:space="preserve"> PAGEREF _Toc219723721 \h </w:instrText>
      </w:r>
      <w:r>
        <w:fldChar w:fldCharType="separate"/>
      </w:r>
      <w:r>
        <w:t>23</w:t>
      </w:r>
      <w:r>
        <w:fldChar w:fldCharType="end"/>
      </w:r>
      <w:r>
        <w:fldChar w:fldCharType="end"/>
      </w:r>
    </w:p>
    <w:p w14:paraId="5D1BDE7B">
      <w:pPr>
        <w:pStyle w:val="20"/>
        <w:tabs>
          <w:tab w:val="right" w:leader="dot" w:pos="9344"/>
        </w:tabs>
        <w:rPr>
          <w:rFonts w:asciiTheme="minorHAnsi" w:hAnsiTheme="minorHAnsi" w:eastAsiaTheme="minorEastAsia" w:cstheme="minorBidi"/>
          <w:szCs w:val="22"/>
        </w:rPr>
      </w:pPr>
      <w:r>
        <w:fldChar w:fldCharType="begin"/>
      </w:r>
      <w:r>
        <w:instrText xml:space="preserve"> HYPERLINK \l "_Toc219723722" </w:instrText>
      </w:r>
      <w:r>
        <w:fldChar w:fldCharType="separate"/>
      </w:r>
      <w:r>
        <w:rPr>
          <w:rStyle w:val="34"/>
        </w:rPr>
        <w:t>参考文献</w:t>
      </w:r>
      <w:r>
        <w:tab/>
      </w:r>
      <w:r>
        <w:fldChar w:fldCharType="begin"/>
      </w:r>
      <w:r>
        <w:instrText xml:space="preserve"> PAGEREF _Toc219723722 \h </w:instrText>
      </w:r>
      <w:r>
        <w:fldChar w:fldCharType="separate"/>
      </w:r>
      <w:r>
        <w:t>25</w:t>
      </w:r>
      <w:r>
        <w:fldChar w:fldCharType="end"/>
      </w:r>
      <w:r>
        <w:fldChar w:fldCharType="end"/>
      </w:r>
    </w:p>
    <w:p w14:paraId="57F69E39">
      <w:pPr>
        <w:pStyle w:val="94"/>
        <w:spacing w:after="468"/>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2AA1F1D0">
      <w:pPr>
        <w:pStyle w:val="92"/>
        <w:spacing w:before="560" w:after="468"/>
      </w:pPr>
      <w:bookmarkStart w:id="31" w:name="_Toc219723706"/>
      <w:bookmarkStart w:id="32" w:name="BookMark2"/>
      <w:r>
        <w:rPr>
          <w:rFonts w:hint="eastAsia"/>
          <w:spacing w:val="320"/>
        </w:rPr>
        <w:t>前</w:t>
      </w:r>
      <w:r>
        <w:rPr>
          <w:rFonts w:hint="eastAsia"/>
        </w:rPr>
        <w:t>言</w:t>
      </w:r>
      <w:bookmarkEnd w:id="22"/>
      <w:bookmarkEnd w:id="23"/>
      <w:bookmarkEnd w:id="24"/>
      <w:bookmarkEnd w:id="25"/>
      <w:bookmarkEnd w:id="26"/>
      <w:bookmarkEnd w:id="27"/>
      <w:bookmarkEnd w:id="28"/>
      <w:bookmarkEnd w:id="29"/>
      <w:bookmarkEnd w:id="30"/>
      <w:bookmarkEnd w:id="31"/>
    </w:p>
    <w:p w14:paraId="15030DB9">
      <w:pPr>
        <w:pStyle w:val="59"/>
        <w:ind w:firstLine="420"/>
      </w:pPr>
      <w:r>
        <w:rPr>
          <w:rFonts w:hint="eastAsia"/>
        </w:rPr>
        <w:t>本文件按照GB/T 1.1—2020《标准化工作导则  第1部分：标准化文件的结构和起草规则》的规定起草。</w:t>
      </w:r>
    </w:p>
    <w:p w14:paraId="4D812D88">
      <w:pPr>
        <w:pStyle w:val="59"/>
        <w:ind w:firstLine="420"/>
      </w:pPr>
      <w:r>
        <w:rPr>
          <w:rFonts w:hint="eastAsia"/>
        </w:rPr>
        <w:t>请注意本文件的某些内容可能涉及专利。本文件的发布机构不承担识别专利的责任。</w:t>
      </w:r>
    </w:p>
    <w:p w14:paraId="4940B6BC">
      <w:pPr>
        <w:pStyle w:val="59"/>
        <w:ind w:firstLine="420"/>
      </w:pPr>
      <w:r>
        <w:rPr>
          <w:rFonts w:hint="eastAsia"/>
        </w:rPr>
        <w:t>本文件由广东省市场监督管理局（知识产权局）提出。</w:t>
      </w:r>
    </w:p>
    <w:p w14:paraId="3E2CFD69">
      <w:pPr>
        <w:pStyle w:val="59"/>
        <w:ind w:firstLine="420"/>
      </w:pPr>
      <w:r>
        <w:rPr>
          <w:rFonts w:hint="eastAsia"/>
        </w:rPr>
        <w:t>本文件由广东省知识产权服务标准化技术委员会（GD/TC 123）归口。</w:t>
      </w:r>
    </w:p>
    <w:p w14:paraId="2C2E7D86">
      <w:pPr>
        <w:pStyle w:val="59"/>
        <w:ind w:firstLine="420"/>
      </w:pPr>
      <w:r>
        <w:rPr>
          <w:rFonts w:hint="eastAsia"/>
        </w:rPr>
        <w:t>本文件起草单位：</w:t>
      </w:r>
    </w:p>
    <w:p w14:paraId="5BED7C98">
      <w:pPr>
        <w:pStyle w:val="59"/>
        <w:ind w:firstLine="420"/>
      </w:pPr>
      <w:r>
        <w:rPr>
          <w:rFonts w:hint="eastAsia"/>
        </w:rPr>
        <w:t>本文件主要起草人：</w:t>
      </w:r>
    </w:p>
    <w:p w14:paraId="6A11F1DB">
      <w:pPr>
        <w:pStyle w:val="59"/>
        <w:ind w:firstLine="420"/>
      </w:pPr>
    </w:p>
    <w:p w14:paraId="7EDCC3DD">
      <w:pPr>
        <w:pStyle w:val="59"/>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cols w:space="425" w:num="1"/>
          <w:formProt w:val="0"/>
          <w:docGrid w:type="lines" w:linePitch="312" w:charSpace="0"/>
        </w:sectPr>
      </w:pPr>
    </w:p>
    <w:bookmarkEnd w:id="32"/>
    <w:p w14:paraId="7036978A">
      <w:pPr>
        <w:spacing w:line="20" w:lineRule="exact"/>
        <w:jc w:val="center"/>
        <w:rPr>
          <w:rFonts w:ascii="黑体" w:hAnsi="黑体" w:eastAsia="黑体"/>
          <w:sz w:val="32"/>
          <w:szCs w:val="32"/>
        </w:rPr>
      </w:pPr>
      <w:bookmarkStart w:id="33" w:name="BookMark4"/>
    </w:p>
    <w:p w14:paraId="16976CE0">
      <w:pPr>
        <w:spacing w:line="20" w:lineRule="exact"/>
        <w:jc w:val="center"/>
        <w:rPr>
          <w:rFonts w:ascii="黑体" w:hAnsi="黑体" w:eastAsia="黑体"/>
          <w:sz w:val="32"/>
          <w:szCs w:val="32"/>
        </w:rPr>
      </w:pPr>
    </w:p>
    <w:sdt>
      <w:sdtPr>
        <w:tag w:val="NEW_STAND_NAME"/>
        <w:id w:val="595910757"/>
        <w:lock w:val="sdtLocked"/>
        <w:placeholder>
          <w:docPart w:val="44A38090058141E5BCF867FEE79180DC"/>
        </w:placeholder>
      </w:sdtPr>
      <w:sdtContent>
        <w:p w14:paraId="5D34CE49">
          <w:pPr>
            <w:pStyle w:val="180"/>
            <w:spacing w:before="312" w:beforeLines="100" w:after="686" w:afterLines="220"/>
          </w:pPr>
          <w:bookmarkStart w:id="34" w:name="NEW_STAND_NAME"/>
          <w:r>
            <w:rPr>
              <w:rFonts w:hint="eastAsia"/>
            </w:rPr>
            <w:t>企业商业秘密保护合规管理规范</w:t>
          </w:r>
        </w:p>
      </w:sdtContent>
    </w:sdt>
    <w:bookmarkEnd w:id="34"/>
    <w:p w14:paraId="2D96A95B">
      <w:pPr>
        <w:pStyle w:val="107"/>
        <w:spacing w:before="312" w:after="312"/>
      </w:pPr>
      <w:bookmarkStart w:id="35" w:name="_Toc17233333"/>
      <w:bookmarkStart w:id="36" w:name="_Toc26986530"/>
      <w:bookmarkStart w:id="37" w:name="_Toc17233325"/>
      <w:bookmarkStart w:id="38" w:name="_Toc219723707"/>
      <w:bookmarkStart w:id="39" w:name="_Toc698"/>
      <w:bookmarkStart w:id="40" w:name="_Toc3510"/>
      <w:bookmarkStart w:id="41" w:name="_Toc214009858"/>
      <w:bookmarkStart w:id="42" w:name="_Toc3805"/>
      <w:bookmarkStart w:id="43" w:name="_Toc24884211"/>
      <w:bookmarkStart w:id="44" w:name="_Toc26986771"/>
      <w:bookmarkStart w:id="45" w:name="_Toc26648465"/>
      <w:bookmarkStart w:id="46" w:name="_Toc26718930"/>
      <w:bookmarkStart w:id="47" w:name="_Toc29267"/>
      <w:bookmarkStart w:id="48" w:name="_Toc12531"/>
      <w:bookmarkStart w:id="49" w:name="_Toc97191423"/>
      <w:bookmarkStart w:id="50" w:name="_Toc13370"/>
      <w:bookmarkStart w:id="51" w:name="_Toc24884218"/>
      <w:bookmarkStart w:id="52" w:name="_Toc214009891"/>
      <w:bookmarkStart w:id="53" w:name="_Toc29938"/>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9909B5C">
      <w:pPr>
        <w:pStyle w:val="59"/>
        <w:ind w:firstLine="420"/>
      </w:pPr>
      <w:bookmarkStart w:id="54" w:name="_Toc24884219"/>
      <w:bookmarkStart w:id="55" w:name="_Toc24884212"/>
      <w:bookmarkStart w:id="56" w:name="_Toc17233334"/>
      <w:bookmarkStart w:id="57" w:name="_Toc26648466"/>
      <w:bookmarkStart w:id="58" w:name="_Toc17233326"/>
      <w:r>
        <w:rPr>
          <w:rFonts w:hint="eastAsia"/>
        </w:rPr>
        <w:t>本文件规定了企业商业秘密保护合规管理的总体原则、合规管理组织和职责、商业秘密合规管理、涉密载体管理、涉密区域管理、人员管理、风险防范及应急处理、维权。</w:t>
      </w:r>
    </w:p>
    <w:p w14:paraId="6256D3E6">
      <w:pPr>
        <w:pStyle w:val="59"/>
        <w:ind w:firstLine="420"/>
      </w:pPr>
      <w:r>
        <w:rPr>
          <w:rFonts w:hint="eastAsia"/>
        </w:rPr>
        <w:t>本文件适用于广东省内各类企业（含分支机构）开展商业秘密保护合规管理活动。事业单位、社会团体等其他组织，参照本文件相关要求执行。</w:t>
      </w:r>
    </w:p>
    <w:p w14:paraId="47FA721D">
      <w:pPr>
        <w:pStyle w:val="107"/>
        <w:spacing w:before="312" w:after="312"/>
      </w:pPr>
      <w:bookmarkStart w:id="59" w:name="_Toc26986772"/>
      <w:bookmarkStart w:id="60" w:name="_Toc97191424"/>
      <w:bookmarkStart w:id="61" w:name="_Toc26986531"/>
      <w:bookmarkStart w:id="62" w:name="_Toc29516"/>
      <w:bookmarkStart w:id="63" w:name="_Toc16102"/>
      <w:bookmarkStart w:id="64" w:name="_Toc27871"/>
      <w:bookmarkStart w:id="65" w:name="_Toc214009859"/>
      <w:bookmarkStart w:id="66" w:name="_Toc2622"/>
      <w:bookmarkStart w:id="67" w:name="_Toc26718931"/>
      <w:bookmarkStart w:id="68" w:name="_Toc214009892"/>
      <w:bookmarkStart w:id="69" w:name="_Toc7401"/>
      <w:bookmarkStart w:id="70" w:name="_Toc11327"/>
      <w:bookmarkStart w:id="71" w:name="_Toc12243"/>
      <w:bookmarkStart w:id="72" w:name="_Toc219723708"/>
      <w:r>
        <w:rPr>
          <w:rFonts w:hint="eastAsia"/>
        </w:rPr>
        <w:t>规范性引用文件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dt>
      <w:sdtPr>
        <w:rPr>
          <w:rFonts w:hint="eastAsia"/>
        </w:rPr>
        <w:id w:val="715848253"/>
        <w:placeholder>
          <w:docPart w:val="83ACEA082902419DAEC754314F0D25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D20C95A">
          <w:pPr>
            <w:pStyle w:val="59"/>
            <w:ind w:firstLine="420"/>
          </w:pPr>
          <w:r>
            <w:rPr>
              <w:rFonts w:hint="eastAsia"/>
            </w:rPr>
            <w:t>本文件没有规范性引用文件。</w:t>
          </w:r>
        </w:p>
      </w:sdtContent>
    </w:sdt>
    <w:p w14:paraId="7738B975">
      <w:pPr>
        <w:pStyle w:val="107"/>
        <w:spacing w:before="312" w:after="312"/>
      </w:pPr>
      <w:bookmarkStart w:id="73" w:name="_Toc18074"/>
      <w:bookmarkStart w:id="74" w:name="_Toc30417"/>
      <w:bookmarkStart w:id="75" w:name="_Toc6102"/>
      <w:bookmarkStart w:id="76" w:name="_Toc219723709"/>
      <w:bookmarkStart w:id="77" w:name="_Toc7978"/>
      <w:bookmarkStart w:id="78" w:name="_Toc214009893"/>
      <w:bookmarkStart w:id="79" w:name="_Toc4942"/>
      <w:bookmarkStart w:id="80" w:name="_Toc30596"/>
      <w:bookmarkStart w:id="81" w:name="_Toc97191425"/>
      <w:bookmarkStart w:id="82" w:name="_Toc214009860"/>
      <w:bookmarkStart w:id="83" w:name="_Toc7053"/>
      <w:r>
        <w:rPr>
          <w:rFonts w:hint="eastAsia"/>
          <w:szCs w:val="21"/>
        </w:rPr>
        <w:t>术语和定义</w:t>
      </w:r>
      <w:bookmarkEnd w:id="73"/>
      <w:bookmarkEnd w:id="74"/>
      <w:bookmarkEnd w:id="75"/>
      <w:bookmarkEnd w:id="76"/>
      <w:bookmarkEnd w:id="77"/>
      <w:bookmarkEnd w:id="78"/>
      <w:bookmarkEnd w:id="79"/>
      <w:bookmarkEnd w:id="80"/>
      <w:bookmarkEnd w:id="81"/>
      <w:bookmarkEnd w:id="82"/>
      <w:bookmarkEnd w:id="83"/>
    </w:p>
    <w:sdt>
      <w:sdtPr>
        <w:id w:val="-1"/>
        <w:placeholder>
          <w:docPart w:val="1300A4C75D794D6291D16A5282D6F45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C030528">
          <w:pPr>
            <w:pStyle w:val="59"/>
            <w:ind w:firstLine="420"/>
          </w:pPr>
          <w:bookmarkStart w:id="84" w:name="_Toc26986532"/>
          <w:bookmarkEnd w:id="84"/>
          <w:r>
            <w:t>下列术语和定义适用于本文件。</w:t>
          </w:r>
        </w:p>
      </w:sdtContent>
    </w:sdt>
    <w:p w14:paraId="1C7F5087">
      <w:pPr>
        <w:pStyle w:val="226"/>
        <w:ind w:left="420" w:hanging="420" w:hangingChars="200"/>
      </w:pPr>
      <w:r>
        <w:rPr>
          <w:rFonts w:hint="eastAsia" w:ascii="黑体" w:hAnsi="黑体" w:eastAsia="黑体" w:cs="黑体"/>
        </w:rPr>
        <w:br w:type="textWrapping"/>
      </w:r>
      <w:r>
        <w:rPr>
          <w:rFonts w:hint="eastAsia" w:ascii="黑体" w:hAnsi="黑体" w:eastAsia="黑体" w:cs="黑体"/>
        </w:rPr>
        <w:t>商业秘密  trade secret</w:t>
      </w:r>
    </w:p>
    <w:p w14:paraId="5A55C1C4">
      <w:pPr>
        <w:pStyle w:val="59"/>
        <w:ind w:firstLine="420"/>
      </w:pPr>
      <w:r>
        <w:rPr>
          <w:rFonts w:hint="eastAsia"/>
        </w:rPr>
        <w:t>不为公众所知悉、具有商业价值并经权利人采取相应保密措施的技术信息、经营信息等商业信息。</w:t>
      </w:r>
    </w:p>
    <w:p w14:paraId="640955FE">
      <w:pPr>
        <w:pStyle w:val="226"/>
        <w:ind w:left="420" w:hanging="420" w:hangingChars="200"/>
        <w:rPr>
          <w:rFonts w:ascii="黑体" w:hAnsi="黑体" w:eastAsia="黑体" w:cs="黑体"/>
        </w:rPr>
      </w:pPr>
    </w:p>
    <w:p w14:paraId="583EDA3E">
      <w:pPr>
        <w:pStyle w:val="226"/>
        <w:numPr>
          <w:ilvl w:val="2"/>
          <w:numId w:val="0"/>
        </w:numPr>
        <w:ind w:left="-420" w:leftChars="-200" w:firstLine="840" w:firstLineChars="400"/>
        <w:rPr>
          <w:rFonts w:ascii="黑体" w:hAnsi="黑体" w:eastAsia="黑体" w:cs="黑体"/>
        </w:rPr>
      </w:pPr>
      <w:r>
        <w:rPr>
          <w:rFonts w:hint="eastAsia" w:ascii="黑体" w:hAnsi="黑体" w:eastAsia="黑体" w:cs="黑体"/>
        </w:rPr>
        <w:t>技术信息  technical information</w:t>
      </w:r>
    </w:p>
    <w:p w14:paraId="733B1DB6">
      <w:pPr>
        <w:pStyle w:val="59"/>
        <w:ind w:firstLine="420"/>
      </w:pPr>
      <w:r>
        <w:rPr>
          <w:rFonts w:hint="eastAsia"/>
        </w:rPr>
        <w:t>与技术有关的结构、原料、组分、配方、材料、样品、样式、植物新品种繁殖材料、工艺、方法或其步骤、算法、数据、计算机程序及其有关文档等信息。</w:t>
      </w:r>
    </w:p>
    <w:p w14:paraId="68B1ADBA">
      <w:pPr>
        <w:pStyle w:val="226"/>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经营信息  commercial information</w:t>
      </w:r>
    </w:p>
    <w:p w14:paraId="0E6FDB23">
      <w:pPr>
        <w:pStyle w:val="59"/>
        <w:ind w:firstLine="420"/>
      </w:pPr>
      <w:r>
        <w:rPr>
          <w:rFonts w:hint="eastAsia"/>
        </w:rPr>
        <w:t xml:space="preserve">与经营活动有关的创意、管理、销售、财务、计划、样本、招投标材料、客户信息、数据等信息。 </w:t>
      </w:r>
    </w:p>
    <w:p w14:paraId="572B244D">
      <w:pPr>
        <w:pStyle w:val="226"/>
        <w:ind w:left="420" w:hanging="420" w:hangingChars="200"/>
        <w:rPr>
          <w:rFonts w:ascii="黑体" w:hAnsi="黑体" w:eastAsia="黑体" w:cs="黑体"/>
        </w:rPr>
      </w:pPr>
      <w:r>
        <w:rPr>
          <w:rFonts w:hint="eastAsia" w:ascii="黑体" w:hAnsi="黑体" w:eastAsia="黑体" w:cs="黑体"/>
        </w:rPr>
        <w:br w:type="textWrapping"/>
      </w:r>
      <w:r>
        <w:rPr>
          <w:rFonts w:hint="eastAsia" w:ascii="黑体" w:hAnsi="黑体" w:eastAsia="黑体" w:cs="黑体"/>
        </w:rPr>
        <w:t>涉密载体  secret-related carrier</w:t>
      </w:r>
    </w:p>
    <w:p w14:paraId="326C1913">
      <w:pPr>
        <w:pStyle w:val="59"/>
        <w:ind w:firstLine="420"/>
      </w:pPr>
      <w:r>
        <w:rPr>
          <w:rFonts w:hint="eastAsia"/>
        </w:rPr>
        <w:t>以文字、数据、符号、图形、图像、视频和音频等方式记录商业秘密信息的介质。</w:t>
      </w:r>
    </w:p>
    <w:p w14:paraId="25EBF13E">
      <w:pPr>
        <w:pStyle w:val="107"/>
        <w:spacing w:before="312" w:after="312"/>
      </w:pPr>
      <w:bookmarkStart w:id="85" w:name="_Toc29827"/>
      <w:bookmarkStart w:id="86" w:name="_Toc25641"/>
      <w:bookmarkStart w:id="87" w:name="_Toc26991"/>
      <w:bookmarkStart w:id="88" w:name="_Toc12916"/>
      <w:bookmarkStart w:id="89" w:name="_Toc22127"/>
      <w:bookmarkStart w:id="90" w:name="_Toc3462"/>
      <w:bookmarkStart w:id="91" w:name="_Toc214009894"/>
      <w:bookmarkStart w:id="92" w:name="_Toc1949"/>
      <w:bookmarkStart w:id="93" w:name="_Toc219723710"/>
      <w:bookmarkStart w:id="94" w:name="_Toc214009861"/>
      <w:r>
        <w:rPr>
          <w:rFonts w:hint="eastAsia"/>
        </w:rPr>
        <w:t>总体原则</w:t>
      </w:r>
      <w:bookmarkEnd w:id="85"/>
      <w:bookmarkEnd w:id="86"/>
      <w:bookmarkEnd w:id="87"/>
      <w:bookmarkEnd w:id="88"/>
      <w:bookmarkEnd w:id="89"/>
      <w:bookmarkEnd w:id="90"/>
      <w:bookmarkEnd w:id="91"/>
      <w:bookmarkEnd w:id="92"/>
      <w:bookmarkEnd w:id="93"/>
      <w:bookmarkEnd w:id="94"/>
    </w:p>
    <w:p w14:paraId="67A6D63B">
      <w:pPr>
        <w:pStyle w:val="108"/>
        <w:spacing w:before="156" w:after="156"/>
      </w:pPr>
      <w:bookmarkStart w:id="95" w:name="_Toc3479"/>
      <w:bookmarkStart w:id="96" w:name="_Toc5662"/>
      <w:bookmarkStart w:id="97" w:name="_Toc24846"/>
      <w:r>
        <w:rPr>
          <w:rFonts w:hint="eastAsia"/>
        </w:rPr>
        <w:t>合法合规原则</w:t>
      </w:r>
      <w:bookmarkEnd w:id="95"/>
      <w:bookmarkEnd w:id="96"/>
      <w:bookmarkEnd w:id="97"/>
    </w:p>
    <w:p w14:paraId="55C16501">
      <w:pPr>
        <w:pStyle w:val="59"/>
        <w:ind w:firstLine="420"/>
      </w:pPr>
      <w:r>
        <w:rPr>
          <w:rFonts w:hint="eastAsia"/>
        </w:rPr>
        <w:t>商业秘密管理应遵守国家法律、法规、规章规定。确保所有的保护措施、管理行为和维权活动都在法律框架内进行。</w:t>
      </w:r>
    </w:p>
    <w:p w14:paraId="44B1C9D3">
      <w:pPr>
        <w:pStyle w:val="108"/>
        <w:spacing w:before="156" w:after="156"/>
      </w:pPr>
      <w:bookmarkStart w:id="98" w:name="_Toc12131"/>
      <w:bookmarkStart w:id="99" w:name="_Toc5930"/>
      <w:bookmarkStart w:id="100" w:name="_Toc21405"/>
      <w:r>
        <w:rPr>
          <w:rFonts w:hint="eastAsia"/>
        </w:rPr>
        <w:t>分级管理原则</w:t>
      </w:r>
      <w:bookmarkEnd w:id="98"/>
      <w:bookmarkEnd w:id="99"/>
      <w:bookmarkEnd w:id="100"/>
    </w:p>
    <w:p w14:paraId="46864CC0">
      <w:pPr>
        <w:pStyle w:val="59"/>
        <w:ind w:firstLine="420"/>
      </w:pPr>
      <w:r>
        <w:rPr>
          <w:rFonts w:hint="eastAsia"/>
        </w:rPr>
        <w:t>企业根据商业秘密的价值大小与信息性质，划分保护等级、区分管理类别，实施差异化保护措施。</w:t>
      </w:r>
    </w:p>
    <w:p w14:paraId="4F1DF2BD">
      <w:pPr>
        <w:pStyle w:val="108"/>
        <w:spacing w:before="156" w:after="156"/>
      </w:pPr>
      <w:bookmarkStart w:id="101" w:name="_Toc13968"/>
      <w:bookmarkStart w:id="102" w:name="_Toc30065"/>
      <w:bookmarkStart w:id="103" w:name="_Toc4988"/>
      <w:r>
        <w:rPr>
          <w:rFonts w:hint="eastAsia"/>
        </w:rPr>
        <w:t>最小接触原则</w:t>
      </w:r>
      <w:bookmarkEnd w:id="101"/>
      <w:bookmarkEnd w:id="102"/>
      <w:bookmarkEnd w:id="103"/>
    </w:p>
    <w:p w14:paraId="3261C3C6">
      <w:pPr>
        <w:pStyle w:val="59"/>
        <w:ind w:firstLine="420"/>
      </w:pPr>
      <w:r>
        <w:rPr>
          <w:rFonts w:hint="eastAsia"/>
        </w:rPr>
        <w:t>根据本企业对商业秘密的分类，应对知悉相应商业秘密的授权控制在最小范围内。</w:t>
      </w:r>
    </w:p>
    <w:p w14:paraId="7EF60BE1">
      <w:pPr>
        <w:pStyle w:val="108"/>
        <w:spacing w:before="156" w:after="156"/>
      </w:pPr>
      <w:bookmarkStart w:id="104" w:name="_Toc2386"/>
      <w:bookmarkStart w:id="105" w:name="_Toc28754"/>
      <w:bookmarkStart w:id="106" w:name="_Toc15062"/>
      <w:r>
        <w:rPr>
          <w:rFonts w:hint="eastAsia"/>
        </w:rPr>
        <w:t>动态管理原则</w:t>
      </w:r>
      <w:bookmarkEnd w:id="104"/>
      <w:bookmarkEnd w:id="105"/>
      <w:bookmarkEnd w:id="106"/>
    </w:p>
    <w:p w14:paraId="75A27D09">
      <w:pPr>
        <w:pStyle w:val="59"/>
        <w:ind w:firstLine="420"/>
      </w:pPr>
      <w:r>
        <w:rPr>
          <w:rFonts w:hint="eastAsia"/>
        </w:rPr>
        <w:t>企业应定期评估商业秘密的保护等级、保密期限及保护措施，根据其价值变化、生命周期及外部环境动态调整管理策略。</w:t>
      </w:r>
    </w:p>
    <w:p w14:paraId="09581D5E">
      <w:pPr>
        <w:pStyle w:val="108"/>
        <w:spacing w:before="156" w:after="156"/>
      </w:pPr>
      <w:bookmarkStart w:id="107" w:name="_Toc28673"/>
      <w:bookmarkStart w:id="108" w:name="_Toc13274"/>
      <w:bookmarkStart w:id="109" w:name="_Toc530"/>
      <w:r>
        <w:rPr>
          <w:rFonts w:hint="eastAsia"/>
        </w:rPr>
        <w:t>风险防控原则</w:t>
      </w:r>
      <w:bookmarkEnd w:id="107"/>
      <w:bookmarkEnd w:id="108"/>
      <w:bookmarkEnd w:id="109"/>
    </w:p>
    <w:p w14:paraId="2C07A456">
      <w:pPr>
        <w:pStyle w:val="59"/>
        <w:ind w:firstLine="420"/>
      </w:pPr>
      <w:r>
        <w:rPr>
          <w:rFonts w:hint="eastAsia"/>
        </w:rPr>
        <w:t>商业秘密保护以预防为主，通过建立健全商业秘密保护机制和制度，识别和确定商业秘密的泄密风险，加强保密事项的管理，采取预先存证保护等措施，加强商业秘密前置保护。</w:t>
      </w:r>
    </w:p>
    <w:p w14:paraId="3B986253">
      <w:pPr>
        <w:pStyle w:val="108"/>
        <w:spacing w:before="156" w:after="156"/>
      </w:pPr>
      <w:bookmarkStart w:id="110" w:name="_Toc24031"/>
      <w:bookmarkStart w:id="111" w:name="_Toc11481"/>
      <w:bookmarkStart w:id="112" w:name="_Toc1368"/>
      <w:r>
        <w:rPr>
          <w:rFonts w:hint="eastAsia"/>
        </w:rPr>
        <w:t>全程可追溯原则</w:t>
      </w:r>
      <w:bookmarkEnd w:id="110"/>
      <w:bookmarkEnd w:id="111"/>
      <w:bookmarkEnd w:id="112"/>
    </w:p>
    <w:p w14:paraId="42284DB1">
      <w:pPr>
        <w:pStyle w:val="59"/>
        <w:ind w:firstLine="420"/>
      </w:pPr>
      <w:r>
        <w:rPr>
          <w:rFonts w:hint="eastAsia"/>
        </w:rPr>
        <w:t>企业在商业秘密的确定、应用和保护工作中，通过完善记录信息，实现对商业秘密全生命周期的追踪及溯源。</w:t>
      </w:r>
    </w:p>
    <w:p w14:paraId="7F55C4D1">
      <w:pPr>
        <w:pStyle w:val="107"/>
        <w:spacing w:before="312" w:after="312"/>
      </w:pPr>
      <w:bookmarkStart w:id="113" w:name="_Toc27878"/>
      <w:bookmarkStart w:id="114" w:name="_Toc16905"/>
      <w:bookmarkStart w:id="115" w:name="_Toc1676"/>
      <w:bookmarkStart w:id="116" w:name="_Toc6913"/>
      <w:bookmarkStart w:id="117" w:name="_Toc17821"/>
      <w:bookmarkStart w:id="118" w:name="_Toc19900"/>
      <w:bookmarkStart w:id="119" w:name="_Toc214009862"/>
      <w:bookmarkStart w:id="120" w:name="_Toc214009895"/>
      <w:bookmarkStart w:id="121" w:name="_Toc26218"/>
      <w:bookmarkStart w:id="122" w:name="_Toc219723711"/>
      <w:r>
        <w:rPr>
          <w:rFonts w:hint="eastAsia"/>
        </w:rPr>
        <w:t>合规管理组织和职责</w:t>
      </w:r>
      <w:bookmarkEnd w:id="113"/>
      <w:bookmarkEnd w:id="114"/>
      <w:bookmarkEnd w:id="115"/>
      <w:bookmarkEnd w:id="116"/>
      <w:bookmarkEnd w:id="117"/>
      <w:bookmarkEnd w:id="118"/>
      <w:bookmarkEnd w:id="119"/>
      <w:bookmarkEnd w:id="120"/>
      <w:bookmarkEnd w:id="121"/>
      <w:bookmarkEnd w:id="122"/>
    </w:p>
    <w:p w14:paraId="7C3D5145">
      <w:pPr>
        <w:pStyle w:val="108"/>
        <w:spacing w:before="156" w:after="156"/>
      </w:pPr>
      <w:bookmarkStart w:id="123" w:name="_Toc31888"/>
      <w:bookmarkStart w:id="124" w:name="_Toc29626"/>
      <w:bookmarkStart w:id="125" w:name="_Toc24862"/>
      <w:r>
        <w:rPr>
          <w:rFonts w:hint="eastAsia"/>
        </w:rPr>
        <w:t>合规管理组织架构</w:t>
      </w:r>
      <w:bookmarkEnd w:id="123"/>
      <w:bookmarkEnd w:id="124"/>
      <w:bookmarkEnd w:id="125"/>
    </w:p>
    <w:p w14:paraId="5C455BF0">
      <w:pPr>
        <w:pStyle w:val="168"/>
      </w:pPr>
      <w:r>
        <w:rPr>
          <w:rFonts w:hint="eastAsia"/>
        </w:rPr>
        <w:t>企业应根据行业特点和自身技术要求制定和实施有关商业秘密保护、培训、宣传、泄密应急处置和奖惩的管理制度。</w:t>
      </w:r>
    </w:p>
    <w:p w14:paraId="14709B0B">
      <w:pPr>
        <w:pStyle w:val="168"/>
      </w:pPr>
      <w:r>
        <w:rPr>
          <w:rFonts w:hint="eastAsia"/>
        </w:rPr>
        <w:t>企业宜按照本文件的要求，建立、实施、保持和持续改进商业秘密保护管理体系。</w:t>
      </w:r>
    </w:p>
    <w:p w14:paraId="57C9C08F">
      <w:pPr>
        <w:pStyle w:val="168"/>
      </w:pPr>
      <w:r>
        <w:t>企业对商业秘密的保护实行领导负责制，即最高管理者负最终责任。</w:t>
      </w:r>
    </w:p>
    <w:p w14:paraId="658364B6">
      <w:pPr>
        <w:pStyle w:val="168"/>
      </w:pPr>
      <w:r>
        <w:t>企业</w:t>
      </w:r>
      <w:r>
        <w:rPr>
          <w:rFonts w:hint="eastAsia"/>
        </w:rPr>
        <w:t>宜成立</w:t>
      </w:r>
      <w:r>
        <w:t>商业秘密保护</w:t>
      </w:r>
      <w:r>
        <w:rPr>
          <w:rFonts w:hint="eastAsia"/>
        </w:rPr>
        <w:t>委员会</w:t>
      </w:r>
      <w:r>
        <w:t>或依托相关部门开展商业秘密保护工作。</w:t>
      </w:r>
    </w:p>
    <w:p w14:paraId="6D6C9D8A">
      <w:pPr>
        <w:pStyle w:val="168"/>
      </w:pPr>
      <w:r>
        <w:rPr>
          <w:rFonts w:hint="eastAsia"/>
        </w:rPr>
        <w:t>商业秘密保护委员会宜建立跨部门协同机制，审查保护措施有效性。</w:t>
      </w:r>
    </w:p>
    <w:p w14:paraId="6971D707">
      <w:pPr>
        <w:pStyle w:val="168"/>
      </w:pPr>
      <w:r>
        <w:rPr>
          <w:rFonts w:hint="eastAsia"/>
        </w:rPr>
        <w:t>企业各业务部门负责本部门涉密事项的保密管理、监督和检查工作，针对本部门实际业务工作制定专业性保密管理措施</w:t>
      </w:r>
      <w:r>
        <w:t>，并配备专（兼）职保密员</w:t>
      </w:r>
      <w:r>
        <w:rPr>
          <w:rFonts w:hint="eastAsia"/>
        </w:rPr>
        <w:t>。</w:t>
      </w:r>
    </w:p>
    <w:p w14:paraId="08801ECA">
      <w:pPr>
        <w:pStyle w:val="108"/>
        <w:spacing w:before="156" w:after="156"/>
      </w:pPr>
      <w:bookmarkStart w:id="126" w:name="_Toc9919"/>
      <w:bookmarkStart w:id="127" w:name="_Toc11882"/>
      <w:bookmarkStart w:id="128" w:name="_Toc10173"/>
      <w:bookmarkStart w:id="129" w:name="_Toc2654"/>
      <w:bookmarkStart w:id="130" w:name="_Toc12786"/>
      <w:r>
        <w:rPr>
          <w:rFonts w:hint="eastAsia"/>
        </w:rPr>
        <w:t>最高管理者职责</w:t>
      </w:r>
      <w:bookmarkEnd w:id="126"/>
      <w:bookmarkEnd w:id="127"/>
      <w:bookmarkEnd w:id="128"/>
      <w:bookmarkEnd w:id="129"/>
      <w:bookmarkEnd w:id="130"/>
    </w:p>
    <w:p w14:paraId="3C5D4949">
      <w:pPr>
        <w:pStyle w:val="59"/>
        <w:ind w:firstLine="420"/>
      </w:pPr>
      <w:r>
        <w:rPr>
          <w:rFonts w:hint="eastAsia"/>
        </w:rPr>
        <w:t>企业最高管理者是商业秘密保护的第一责任人，应承担包括但不限于以下职责：</w:t>
      </w:r>
    </w:p>
    <w:p w14:paraId="12A5D580">
      <w:pPr>
        <w:pStyle w:val="177"/>
      </w:pPr>
      <w:r>
        <w:rPr>
          <w:rFonts w:hint="eastAsia"/>
        </w:rPr>
        <w:t>确定商业秘密保护的目标；</w:t>
      </w:r>
    </w:p>
    <w:p w14:paraId="5E7F92D2">
      <w:pPr>
        <w:pStyle w:val="177"/>
      </w:pPr>
      <w:r>
        <w:rPr>
          <w:rFonts w:hint="eastAsia"/>
        </w:rPr>
        <w:t>根据目标制定商业秘密保护方针政策；</w:t>
      </w:r>
    </w:p>
    <w:p w14:paraId="29CE1163">
      <w:pPr>
        <w:pStyle w:val="177"/>
      </w:pPr>
      <w:r>
        <w:rPr>
          <w:rFonts w:hint="eastAsia"/>
        </w:rPr>
        <w:t>依政策搭建组织架构与合规体系；</w:t>
      </w:r>
    </w:p>
    <w:p w14:paraId="34AB162D">
      <w:pPr>
        <w:pStyle w:val="177"/>
      </w:pPr>
      <w:r>
        <w:rPr>
          <w:rFonts w:hint="eastAsia"/>
        </w:rPr>
        <w:t>在组织框架内细化各级职责与权限；</w:t>
      </w:r>
    </w:p>
    <w:p w14:paraId="4BC67A14">
      <w:pPr>
        <w:pStyle w:val="177"/>
      </w:pPr>
      <w:r>
        <w:rPr>
          <w:rFonts w:hint="eastAsia"/>
        </w:rPr>
        <w:t>提供人力、财力、技术等资源保障；</w:t>
      </w:r>
    </w:p>
    <w:p w14:paraId="56E1A385">
      <w:pPr>
        <w:pStyle w:val="177"/>
      </w:pPr>
      <w:r>
        <w:rPr>
          <w:rFonts w:hint="eastAsia"/>
        </w:rPr>
        <w:t>基于风险评估机制决策重大事项；</w:t>
      </w:r>
    </w:p>
    <w:p w14:paraId="2AFF6B2F">
      <w:pPr>
        <w:pStyle w:val="177"/>
      </w:pPr>
      <w:r>
        <w:rPr>
          <w:rFonts w:hint="eastAsia"/>
        </w:rPr>
        <w:t>持续贯彻法律法规并动态更新内部制度。</w:t>
      </w:r>
    </w:p>
    <w:p w14:paraId="0E0D27E3">
      <w:pPr>
        <w:pStyle w:val="108"/>
        <w:spacing w:before="156" w:after="156"/>
      </w:pPr>
      <w:bookmarkStart w:id="131" w:name="_Toc23196"/>
      <w:bookmarkStart w:id="132" w:name="_Toc14174"/>
      <w:bookmarkStart w:id="133" w:name="_Toc21459"/>
      <w:bookmarkStart w:id="134" w:name="_Toc20552"/>
      <w:bookmarkStart w:id="135" w:name="_Toc29658"/>
      <w:r>
        <w:rPr>
          <w:rFonts w:hint="eastAsia"/>
        </w:rPr>
        <w:t>商业秘密</w:t>
      </w:r>
      <w:bookmarkEnd w:id="131"/>
      <w:bookmarkEnd w:id="132"/>
      <w:r>
        <w:rPr>
          <w:rFonts w:hint="eastAsia"/>
        </w:rPr>
        <w:t>保护委员会职责</w:t>
      </w:r>
      <w:bookmarkEnd w:id="133"/>
      <w:bookmarkEnd w:id="134"/>
      <w:bookmarkEnd w:id="135"/>
    </w:p>
    <w:p w14:paraId="6267E80C">
      <w:pPr>
        <w:pStyle w:val="59"/>
        <w:ind w:firstLine="420"/>
      </w:pPr>
      <w:r>
        <w:rPr>
          <w:rFonts w:hint="eastAsia"/>
        </w:rPr>
        <w:t>企业商业秘密保护委员会可由相关部门牵头，联合企业各关键业务部门协同工作。商业秘密保护委员会应承担包括但不限于以下职责：</w:t>
      </w:r>
    </w:p>
    <w:p w14:paraId="48C0C425">
      <w:pPr>
        <w:pStyle w:val="177"/>
        <w:numPr>
          <w:ilvl w:val="0"/>
          <w:numId w:val="32"/>
        </w:numPr>
      </w:pPr>
      <w:r>
        <w:rPr>
          <w:rFonts w:hint="eastAsia"/>
        </w:rPr>
        <w:t>建立健全企业商业秘密管理制度，制定和完善各项商业秘密管理规定；</w:t>
      </w:r>
    </w:p>
    <w:p w14:paraId="6E3099E6">
      <w:pPr>
        <w:pStyle w:val="177"/>
        <w:numPr>
          <w:ilvl w:val="0"/>
          <w:numId w:val="32"/>
        </w:numPr>
      </w:pPr>
      <w:r>
        <w:rPr>
          <w:rFonts w:hint="eastAsia"/>
        </w:rPr>
        <w:t>建立、实施和运行商业秘密管理体系，向最高管理者提出商业秘密保护体系的改进需求建议；</w:t>
      </w:r>
    </w:p>
    <w:p w14:paraId="40A3E795">
      <w:pPr>
        <w:pStyle w:val="177"/>
        <w:numPr>
          <w:ilvl w:val="0"/>
          <w:numId w:val="32"/>
        </w:numPr>
      </w:pPr>
      <w:r>
        <w:rPr>
          <w:rFonts w:hint="eastAsia"/>
        </w:rPr>
        <w:t>负责对企业各部门的商业秘密保护行为进行规范，明确企业各部门在商业秘密保护工作中的职责；</w:t>
      </w:r>
    </w:p>
    <w:p w14:paraId="228D024A">
      <w:pPr>
        <w:pStyle w:val="177"/>
        <w:numPr>
          <w:ilvl w:val="0"/>
          <w:numId w:val="32"/>
        </w:numPr>
      </w:pPr>
      <w:r>
        <w:rPr>
          <w:rFonts w:hint="eastAsia"/>
        </w:rPr>
        <w:t>识别和管理商业秘密事项、涉密部门、涉密人员、涉密区域；</w:t>
      </w:r>
    </w:p>
    <w:p w14:paraId="48E64DE6">
      <w:pPr>
        <w:pStyle w:val="177"/>
        <w:numPr>
          <w:ilvl w:val="0"/>
          <w:numId w:val="32"/>
        </w:numPr>
      </w:pPr>
      <w:r>
        <w:rPr>
          <w:rFonts w:hint="eastAsia"/>
        </w:rPr>
        <w:t>组织企业员工进行商业秘密保护培训；</w:t>
      </w:r>
    </w:p>
    <w:p w14:paraId="025E4CFE">
      <w:pPr>
        <w:pStyle w:val="177"/>
        <w:numPr>
          <w:ilvl w:val="0"/>
          <w:numId w:val="32"/>
        </w:numPr>
      </w:pPr>
      <w:r>
        <w:rPr>
          <w:rFonts w:hint="eastAsia"/>
        </w:rPr>
        <w:t>负责计算机信息网络、涉密载体、涉密区域的安全及保密管理工作；</w:t>
      </w:r>
    </w:p>
    <w:p w14:paraId="00DD6A6B">
      <w:pPr>
        <w:pStyle w:val="177"/>
        <w:numPr>
          <w:ilvl w:val="0"/>
          <w:numId w:val="32"/>
        </w:numPr>
      </w:pPr>
      <w:r>
        <w:rPr>
          <w:rFonts w:hint="eastAsia"/>
        </w:rPr>
        <w:t>对企业重大涉密事件进行调查和处理；</w:t>
      </w:r>
    </w:p>
    <w:p w14:paraId="56A06FEF">
      <w:pPr>
        <w:pStyle w:val="177"/>
        <w:numPr>
          <w:ilvl w:val="0"/>
          <w:numId w:val="32"/>
        </w:numPr>
      </w:pPr>
      <w:r>
        <w:rPr>
          <w:rFonts w:hint="eastAsia"/>
        </w:rPr>
        <w:t>定期对企业商业秘密保护工作进行检查和改进。</w:t>
      </w:r>
    </w:p>
    <w:p w14:paraId="2AC57A06">
      <w:pPr>
        <w:pStyle w:val="108"/>
        <w:spacing w:before="156" w:after="156"/>
      </w:pPr>
      <w:bookmarkStart w:id="136" w:name="_Toc16294"/>
      <w:bookmarkStart w:id="137" w:name="_Toc24006"/>
      <w:bookmarkStart w:id="138" w:name="_Toc6756"/>
      <w:r>
        <w:rPr>
          <w:rFonts w:hint="eastAsia"/>
        </w:rPr>
        <w:t>业务部门职责</w:t>
      </w:r>
      <w:bookmarkEnd w:id="136"/>
      <w:bookmarkEnd w:id="137"/>
      <w:bookmarkEnd w:id="138"/>
    </w:p>
    <w:p w14:paraId="5DB907E0">
      <w:pPr>
        <w:pStyle w:val="59"/>
        <w:ind w:firstLine="420"/>
      </w:pPr>
      <w:r>
        <w:rPr>
          <w:rFonts w:hint="eastAsia"/>
        </w:rPr>
        <w:t>企业应明确涉及商业秘密管理的业务部门，业务部门应承担包括但不限于以下职责：</w:t>
      </w:r>
    </w:p>
    <w:p w14:paraId="6CC342DF">
      <w:pPr>
        <w:pStyle w:val="177"/>
        <w:numPr>
          <w:ilvl w:val="0"/>
          <w:numId w:val="33"/>
        </w:numPr>
      </w:pPr>
      <w:r>
        <w:rPr>
          <w:rFonts w:hint="eastAsia"/>
        </w:rPr>
        <w:t>根据企业管理规定，参与商业秘密保护计划的制定与执行，确保业务流程中的商业秘密得到有效保护，确保涉密信息在业务流程中的安全传递和存储；</w:t>
      </w:r>
    </w:p>
    <w:p w14:paraId="34B4BDBC">
      <w:pPr>
        <w:pStyle w:val="177"/>
        <w:numPr>
          <w:ilvl w:val="0"/>
          <w:numId w:val="33"/>
        </w:numPr>
      </w:pPr>
      <w:r>
        <w:rPr>
          <w:rFonts w:hint="eastAsia"/>
        </w:rPr>
        <w:t>组织本部门员工进行商业秘密保护的培训和教育，提升员工的保密意识和操作技能；</w:t>
      </w:r>
    </w:p>
    <w:p w14:paraId="421C55A8">
      <w:pPr>
        <w:pStyle w:val="177"/>
        <w:numPr>
          <w:ilvl w:val="0"/>
          <w:numId w:val="33"/>
        </w:numPr>
      </w:pPr>
      <w:r>
        <w:rPr>
          <w:rFonts w:hint="eastAsia"/>
        </w:rPr>
        <w:t>负责本部门涉密载体的管理，确保其在存储、传输和处理过程中的安全性；</w:t>
      </w:r>
    </w:p>
    <w:p w14:paraId="0D3465D5">
      <w:pPr>
        <w:pStyle w:val="177"/>
        <w:numPr>
          <w:ilvl w:val="0"/>
          <w:numId w:val="33"/>
        </w:numPr>
      </w:pPr>
      <w:r>
        <w:rPr>
          <w:rFonts w:hint="eastAsia"/>
        </w:rPr>
        <w:t>在业务活动中，及时发现和报告潜在的商业秘密泄露风险，并采取措施进行防范；</w:t>
      </w:r>
    </w:p>
    <w:p w14:paraId="6E2512CC">
      <w:pPr>
        <w:pStyle w:val="177"/>
        <w:numPr>
          <w:ilvl w:val="0"/>
          <w:numId w:val="33"/>
        </w:numPr>
      </w:pPr>
      <w:r>
        <w:rPr>
          <w:rFonts w:hint="eastAsia"/>
        </w:rPr>
        <w:t>配合商业秘密保护委员会进行商业秘密泄露的调查和处理，提供必要的支持和证据；</w:t>
      </w:r>
    </w:p>
    <w:p w14:paraId="21922F9C">
      <w:pPr>
        <w:pStyle w:val="177"/>
        <w:numPr>
          <w:ilvl w:val="0"/>
          <w:numId w:val="33"/>
        </w:numPr>
      </w:pPr>
      <w:r>
        <w:rPr>
          <w:rFonts w:hint="eastAsia"/>
        </w:rPr>
        <w:t>定期审查本部门的商业秘密保护措施，对企业商业秘密保护管理方案提出改进建议，优化保护流程；</w:t>
      </w:r>
    </w:p>
    <w:p w14:paraId="6CC1B848">
      <w:pPr>
        <w:pStyle w:val="177"/>
        <w:numPr>
          <w:ilvl w:val="0"/>
          <w:numId w:val="33"/>
        </w:numPr>
      </w:pPr>
      <w:r>
        <w:rPr>
          <w:rFonts w:hint="eastAsia"/>
        </w:rPr>
        <w:t>对本部门离职员工商业秘密保护、知识产权保护情况进行核查；</w:t>
      </w:r>
    </w:p>
    <w:p w14:paraId="16837816">
      <w:pPr>
        <w:pStyle w:val="177"/>
        <w:numPr>
          <w:ilvl w:val="0"/>
          <w:numId w:val="33"/>
        </w:numPr>
      </w:pPr>
      <w:r>
        <w:rPr>
          <w:rFonts w:hint="eastAsia"/>
        </w:rPr>
        <w:t>确保在与外部合作方（如供应商、合作伙伴）的业务往来中，商业秘密得到有效保护。</w:t>
      </w:r>
    </w:p>
    <w:p w14:paraId="25AC2C28">
      <w:pPr>
        <w:pStyle w:val="108"/>
        <w:spacing w:before="156" w:after="156"/>
      </w:pPr>
      <w:bookmarkStart w:id="139" w:name="_Toc16635"/>
      <w:bookmarkStart w:id="140" w:name="_Toc11048"/>
      <w:bookmarkStart w:id="141" w:name="_Toc28428"/>
      <w:bookmarkStart w:id="142" w:name="_Toc8631"/>
      <w:bookmarkStart w:id="143" w:name="_Toc31796"/>
      <w:r>
        <w:rPr>
          <w:rFonts w:hint="eastAsia"/>
        </w:rPr>
        <w:t>专（兼）职保密员职责</w:t>
      </w:r>
      <w:bookmarkEnd w:id="139"/>
      <w:bookmarkEnd w:id="140"/>
      <w:bookmarkEnd w:id="141"/>
      <w:bookmarkEnd w:id="142"/>
      <w:bookmarkEnd w:id="143"/>
    </w:p>
    <w:p w14:paraId="786E1DB1">
      <w:pPr>
        <w:pStyle w:val="59"/>
        <w:ind w:firstLine="420"/>
      </w:pPr>
      <w:r>
        <w:rPr>
          <w:rFonts w:hint="eastAsia"/>
        </w:rPr>
        <w:t>专（兼）职保密员应承担包括但不限于以下职责：</w:t>
      </w:r>
    </w:p>
    <w:p w14:paraId="41F406DC">
      <w:pPr>
        <w:pStyle w:val="177"/>
        <w:numPr>
          <w:ilvl w:val="0"/>
          <w:numId w:val="34"/>
        </w:numPr>
      </w:pPr>
      <w:r>
        <w:rPr>
          <w:rFonts w:hint="eastAsia"/>
        </w:rPr>
        <w:t>宣传商业秘密保护的意义、作用，增强全员的保密意识；</w:t>
      </w:r>
    </w:p>
    <w:p w14:paraId="6F35B5F1">
      <w:pPr>
        <w:pStyle w:val="177"/>
        <w:numPr>
          <w:ilvl w:val="0"/>
          <w:numId w:val="34"/>
        </w:numPr>
      </w:pPr>
      <w:r>
        <w:rPr>
          <w:rFonts w:hint="eastAsia"/>
        </w:rPr>
        <w:t>按照国家及企业各项保密规定，落实各项保密措施；</w:t>
      </w:r>
    </w:p>
    <w:p w14:paraId="1AF5302E">
      <w:pPr>
        <w:pStyle w:val="177"/>
        <w:numPr>
          <w:ilvl w:val="0"/>
          <w:numId w:val="34"/>
        </w:numPr>
      </w:pPr>
      <w:r>
        <w:rPr>
          <w:rFonts w:hint="eastAsia"/>
        </w:rPr>
        <w:t>执行本部门商业秘密保护相关规定；</w:t>
      </w:r>
    </w:p>
    <w:p w14:paraId="7AB75A01">
      <w:pPr>
        <w:pStyle w:val="177"/>
        <w:numPr>
          <w:ilvl w:val="0"/>
          <w:numId w:val="34"/>
        </w:numPr>
      </w:pPr>
      <w:r>
        <w:rPr>
          <w:rFonts w:hint="eastAsia"/>
        </w:rPr>
        <w:t>监督检查本部门保密工作，发现问题及时整改；</w:t>
      </w:r>
    </w:p>
    <w:p w14:paraId="2DA4425C">
      <w:pPr>
        <w:pStyle w:val="177"/>
        <w:numPr>
          <w:ilvl w:val="0"/>
          <w:numId w:val="34"/>
        </w:numPr>
      </w:pPr>
      <w:r>
        <w:rPr>
          <w:rFonts w:hint="eastAsia"/>
        </w:rPr>
        <w:t>协助调查处理本部门失、泄、窃密事件；</w:t>
      </w:r>
    </w:p>
    <w:p w14:paraId="4FE9C936">
      <w:pPr>
        <w:pStyle w:val="177"/>
        <w:numPr>
          <w:ilvl w:val="0"/>
          <w:numId w:val="34"/>
        </w:numPr>
      </w:pPr>
      <w:r>
        <w:rPr>
          <w:rFonts w:hint="eastAsia"/>
        </w:rPr>
        <w:t>负责计算机信息网络的安全运维，以及涉密载体和涉密区域的安全及保密管理工作；</w:t>
      </w:r>
    </w:p>
    <w:p w14:paraId="4CA13FA8">
      <w:pPr>
        <w:pStyle w:val="177"/>
        <w:numPr>
          <w:ilvl w:val="0"/>
          <w:numId w:val="34"/>
        </w:numPr>
      </w:pPr>
      <w:r>
        <w:rPr>
          <w:rFonts w:hint="eastAsia"/>
        </w:rPr>
        <w:t>统筹或协助部门离职员工商业秘密保护、知识产权保护情况核查；</w:t>
      </w:r>
    </w:p>
    <w:p w14:paraId="05563FA7">
      <w:pPr>
        <w:pStyle w:val="177"/>
        <w:numPr>
          <w:ilvl w:val="0"/>
          <w:numId w:val="34"/>
        </w:numPr>
      </w:pPr>
      <w:r>
        <w:rPr>
          <w:rFonts w:hint="eastAsia"/>
        </w:rPr>
        <w:t>在与外部合作方（如供应商、合作伙伴）签订合同或协议时，明确保密条款，并监督其执行情况，确保商业秘密在合作过程中不被泄露。</w:t>
      </w:r>
    </w:p>
    <w:p w14:paraId="100D87FC">
      <w:pPr>
        <w:pStyle w:val="107"/>
        <w:spacing w:before="312" w:after="312"/>
      </w:pPr>
      <w:bookmarkStart w:id="144" w:name="_Toc28828"/>
      <w:bookmarkStart w:id="145" w:name="_Toc28507"/>
      <w:bookmarkStart w:id="146" w:name="_Toc29566"/>
      <w:bookmarkStart w:id="147" w:name="_Toc26307"/>
      <w:bookmarkStart w:id="148" w:name="_Toc214009896"/>
      <w:bookmarkStart w:id="149" w:name="_Toc725"/>
      <w:bookmarkStart w:id="150" w:name="_Toc214009863"/>
      <w:bookmarkStart w:id="151" w:name="_Toc18411"/>
      <w:bookmarkStart w:id="152" w:name="_Toc219723712"/>
      <w:bookmarkStart w:id="153" w:name="_Toc1128"/>
      <w:bookmarkStart w:id="154" w:name="_Toc21054"/>
      <w:bookmarkStart w:id="155" w:name="_Toc19345"/>
      <w:r>
        <w:rPr>
          <w:rFonts w:hint="eastAsia"/>
        </w:rPr>
        <w:t>商业秘密合规管理</w:t>
      </w:r>
      <w:bookmarkEnd w:id="144"/>
      <w:bookmarkEnd w:id="145"/>
      <w:bookmarkEnd w:id="146"/>
      <w:bookmarkEnd w:id="147"/>
      <w:bookmarkEnd w:id="148"/>
      <w:bookmarkEnd w:id="149"/>
      <w:bookmarkEnd w:id="150"/>
      <w:bookmarkEnd w:id="151"/>
      <w:bookmarkEnd w:id="152"/>
      <w:bookmarkEnd w:id="153"/>
      <w:bookmarkEnd w:id="154"/>
      <w:bookmarkEnd w:id="155"/>
    </w:p>
    <w:p w14:paraId="7F4E1CAD">
      <w:pPr>
        <w:pStyle w:val="108"/>
        <w:spacing w:before="156" w:after="156"/>
      </w:pPr>
      <w:bookmarkStart w:id="156" w:name="_Toc32000"/>
      <w:bookmarkStart w:id="157" w:name="_Toc11025"/>
      <w:r>
        <w:rPr>
          <w:rFonts w:hint="eastAsia"/>
        </w:rPr>
        <w:t>遴选</w:t>
      </w:r>
      <w:bookmarkEnd w:id="156"/>
      <w:bookmarkEnd w:id="157"/>
    </w:p>
    <w:p w14:paraId="4C488640">
      <w:pPr>
        <w:pStyle w:val="68"/>
        <w:spacing w:before="156" w:after="156"/>
      </w:pPr>
      <w:r>
        <w:rPr>
          <w:rFonts w:hint="eastAsia"/>
        </w:rPr>
        <w:t>遴选的</w:t>
      </w:r>
      <w:r>
        <w:t>考虑因素</w:t>
      </w:r>
    </w:p>
    <w:p w14:paraId="5647AD7A">
      <w:pPr>
        <w:pStyle w:val="59"/>
        <w:ind w:firstLine="420"/>
      </w:pPr>
      <w:r>
        <w:t>企业对商业秘密进行</w:t>
      </w:r>
      <w:r>
        <w:rPr>
          <w:rFonts w:hint="eastAsia"/>
        </w:rPr>
        <w:t>确定和评估</w:t>
      </w:r>
      <w:r>
        <w:t>时应考虑</w:t>
      </w:r>
      <w:r>
        <w:rPr>
          <w:rFonts w:hint="eastAsia"/>
        </w:rPr>
        <w:t>包括</w:t>
      </w:r>
      <w:r>
        <w:t>但不限于以下因素：</w:t>
      </w:r>
    </w:p>
    <w:p w14:paraId="4920535D">
      <w:pPr>
        <w:pStyle w:val="177"/>
        <w:numPr>
          <w:ilvl w:val="0"/>
          <w:numId w:val="35"/>
        </w:numPr>
      </w:pPr>
      <w:r>
        <w:t>商业秘密的经济价值；</w:t>
      </w:r>
    </w:p>
    <w:p w14:paraId="34811923">
      <w:pPr>
        <w:pStyle w:val="177"/>
        <w:numPr>
          <w:ilvl w:val="0"/>
          <w:numId w:val="35"/>
        </w:numPr>
      </w:pPr>
      <w:r>
        <w:t>产生商业秘密投入的成本；</w:t>
      </w:r>
    </w:p>
    <w:p w14:paraId="1E2AC98A">
      <w:pPr>
        <w:pStyle w:val="177"/>
        <w:numPr>
          <w:ilvl w:val="0"/>
          <w:numId w:val="35"/>
        </w:numPr>
      </w:pPr>
      <w:r>
        <w:rPr>
          <w:rFonts w:hint="eastAsia"/>
        </w:rPr>
        <w:t>商业秘密的范围和敏感性；</w:t>
      </w:r>
    </w:p>
    <w:p w14:paraId="2481C5C6">
      <w:pPr>
        <w:pStyle w:val="177"/>
        <w:numPr>
          <w:ilvl w:val="0"/>
          <w:numId w:val="35"/>
        </w:numPr>
      </w:pPr>
      <w:r>
        <w:t>商业秘密的传播途径和潜在泄露风险；</w:t>
      </w:r>
    </w:p>
    <w:p w14:paraId="2C675B15">
      <w:pPr>
        <w:pStyle w:val="177"/>
        <w:numPr>
          <w:ilvl w:val="0"/>
          <w:numId w:val="35"/>
        </w:numPr>
      </w:pPr>
      <w:r>
        <w:t>商业秘密的生命周期；</w:t>
      </w:r>
    </w:p>
    <w:p w14:paraId="294D2F91">
      <w:pPr>
        <w:pStyle w:val="177"/>
        <w:numPr>
          <w:ilvl w:val="0"/>
          <w:numId w:val="35"/>
        </w:numPr>
      </w:pPr>
      <w:r>
        <w:t>技术手段的使用和有效性</w:t>
      </w:r>
      <w:r>
        <w:rPr>
          <w:rFonts w:hint="eastAsia"/>
        </w:rPr>
        <w:t>、通用性</w:t>
      </w:r>
      <w:r>
        <w:t>；</w:t>
      </w:r>
    </w:p>
    <w:p w14:paraId="2F6CC085">
      <w:pPr>
        <w:pStyle w:val="177"/>
        <w:numPr>
          <w:ilvl w:val="0"/>
          <w:numId w:val="35"/>
        </w:numPr>
      </w:pPr>
      <w:r>
        <w:t>技术手段突破的难度</w:t>
      </w:r>
      <w:r>
        <w:rPr>
          <w:rFonts w:hint="eastAsia"/>
        </w:rPr>
        <w:t>；</w:t>
      </w:r>
    </w:p>
    <w:p w14:paraId="6A538091">
      <w:pPr>
        <w:pStyle w:val="177"/>
        <w:numPr>
          <w:ilvl w:val="0"/>
          <w:numId w:val="35"/>
        </w:numPr>
      </w:pPr>
      <w:r>
        <w:t>商业秘密的未来潜在价值；</w:t>
      </w:r>
    </w:p>
    <w:p w14:paraId="77F750FB">
      <w:pPr>
        <w:pStyle w:val="177"/>
        <w:numPr>
          <w:ilvl w:val="0"/>
          <w:numId w:val="35"/>
        </w:numPr>
      </w:pPr>
      <w:r>
        <w:t>商业秘密保护成本与预期收益的平衡；</w:t>
      </w:r>
    </w:p>
    <w:p w14:paraId="4AD04AFE">
      <w:pPr>
        <w:pStyle w:val="177"/>
        <w:numPr>
          <w:ilvl w:val="0"/>
          <w:numId w:val="35"/>
        </w:numPr>
      </w:pPr>
      <w:r>
        <w:t>企业文化和管理机制对商业秘密保护的影响</w:t>
      </w:r>
      <w:r>
        <w:rPr>
          <w:rFonts w:hint="eastAsia"/>
        </w:rPr>
        <w:t>；</w:t>
      </w:r>
    </w:p>
    <w:p w14:paraId="206A3EDC">
      <w:pPr>
        <w:pStyle w:val="177"/>
        <w:numPr>
          <w:ilvl w:val="0"/>
          <w:numId w:val="35"/>
        </w:numPr>
      </w:pPr>
      <w:r>
        <w:t>行业竞争态势</w:t>
      </w:r>
      <w:r>
        <w:rPr>
          <w:rFonts w:hint="eastAsia"/>
        </w:rPr>
        <w:t>；</w:t>
      </w:r>
    </w:p>
    <w:p w14:paraId="6112EA84">
      <w:pPr>
        <w:pStyle w:val="177"/>
        <w:numPr>
          <w:ilvl w:val="0"/>
          <w:numId w:val="35"/>
        </w:numPr>
      </w:pPr>
      <w:r>
        <w:t>法律法规对特定信息</w:t>
      </w:r>
      <w:r>
        <w:rPr>
          <w:rFonts w:hint="eastAsia"/>
        </w:rPr>
        <w:t>（如金融、医疗行业的特殊数据合规）</w:t>
      </w:r>
      <w:r>
        <w:t>的保护要求</w:t>
      </w:r>
      <w:r>
        <w:rPr>
          <w:rFonts w:hint="eastAsia"/>
        </w:rPr>
        <w:t>。</w:t>
      </w:r>
    </w:p>
    <w:p w14:paraId="7640416A">
      <w:pPr>
        <w:pStyle w:val="68"/>
        <w:spacing w:before="156" w:after="156"/>
      </w:pPr>
      <w:r>
        <w:t>范围</w:t>
      </w:r>
      <w:r>
        <w:rPr>
          <w:rFonts w:hint="eastAsia"/>
        </w:rPr>
        <w:t>确定</w:t>
      </w:r>
    </w:p>
    <w:p w14:paraId="60EF045D">
      <w:pPr>
        <w:pStyle w:val="59"/>
        <w:ind w:firstLine="420"/>
      </w:pPr>
      <w:r>
        <w:t>企业应对</w:t>
      </w:r>
      <w:r>
        <w:rPr>
          <w:rFonts w:hint="eastAsia"/>
        </w:rPr>
        <w:t>商业秘密</w:t>
      </w:r>
      <w:r>
        <w:t>进行核查和评估，确定本企业商业秘密，其表现形式、评估范围应包括</w:t>
      </w:r>
      <w:r>
        <w:rPr>
          <w:rFonts w:hint="eastAsia"/>
        </w:rPr>
        <w:t>但不限于以下情形</w:t>
      </w:r>
      <w:r>
        <w:t>：</w:t>
      </w:r>
    </w:p>
    <w:p w14:paraId="01AA4017">
      <w:pPr>
        <w:pStyle w:val="177"/>
        <w:numPr>
          <w:ilvl w:val="0"/>
          <w:numId w:val="36"/>
        </w:numPr>
      </w:pPr>
      <w:r>
        <w:t>技术信息：</w:t>
      </w:r>
    </w:p>
    <w:p w14:paraId="44967EB6">
      <w:pPr>
        <w:pStyle w:val="112"/>
        <w:numPr>
          <w:ilvl w:val="1"/>
          <w:numId w:val="37"/>
        </w:numPr>
      </w:pPr>
      <w:r>
        <w:t>设计信息：与产品或服务有关的设计计划、设计方案、</w:t>
      </w:r>
      <w:r>
        <w:rPr>
          <w:rFonts w:hint="eastAsia"/>
        </w:rPr>
        <w:t>研发记录、</w:t>
      </w:r>
      <w:r>
        <w:t>设计图及其草案、模型、样机、</w:t>
      </w:r>
      <w:r>
        <w:rPr>
          <w:rFonts w:hint="eastAsia"/>
        </w:rPr>
        <w:t>实验数据、</w:t>
      </w:r>
      <w:r>
        <w:t>测试记录及数据等；</w:t>
      </w:r>
    </w:p>
    <w:p w14:paraId="147C6F6B">
      <w:pPr>
        <w:pStyle w:val="112"/>
        <w:numPr>
          <w:ilvl w:val="1"/>
          <w:numId w:val="37"/>
        </w:numPr>
      </w:pPr>
      <w:r>
        <w:t>采购技术信息：型号、牌号、定制品技术参数、特别要求等；</w:t>
      </w:r>
    </w:p>
    <w:p w14:paraId="2FC3066B">
      <w:pPr>
        <w:pStyle w:val="112"/>
        <w:numPr>
          <w:ilvl w:val="1"/>
          <w:numId w:val="37"/>
        </w:numPr>
      </w:pPr>
      <w:r>
        <w:t>生产或服务信息：产品的配方、工艺流程、</w:t>
      </w:r>
      <w:r>
        <w:rPr>
          <w:rFonts w:hint="eastAsia"/>
        </w:rPr>
        <w:t>制作方法、</w:t>
      </w:r>
      <w:r>
        <w:t>样式、技术参数、电子数据、作业指导书等；</w:t>
      </w:r>
    </w:p>
    <w:p w14:paraId="15B75510">
      <w:pPr>
        <w:pStyle w:val="112"/>
        <w:numPr>
          <w:ilvl w:val="1"/>
          <w:numId w:val="37"/>
        </w:numPr>
      </w:pPr>
      <w:r>
        <w:t>设备信息：生产设备、仪器、夹具、模具中的技术信息；</w:t>
      </w:r>
    </w:p>
    <w:p w14:paraId="59D5D73B">
      <w:pPr>
        <w:pStyle w:val="112"/>
        <w:numPr>
          <w:ilvl w:val="1"/>
          <w:numId w:val="37"/>
        </w:numPr>
      </w:pPr>
      <w:r>
        <w:rPr>
          <w:rFonts w:hint="eastAsia"/>
        </w:rPr>
        <w:t>软件与数据信息：</w:t>
      </w:r>
      <w:r>
        <w:t>源代码、算法、编码、网络协议、应用程序、</w:t>
      </w:r>
      <w:r>
        <w:rPr>
          <w:rFonts w:hint="eastAsia"/>
        </w:rPr>
        <w:t>与产品和技术相关的</w:t>
      </w:r>
      <w:r>
        <w:t>电子数据</w:t>
      </w:r>
      <w:r>
        <w:rPr>
          <w:rFonts w:hint="eastAsia"/>
        </w:rPr>
        <w:t>、</w:t>
      </w:r>
      <w:r>
        <w:t>程序</w:t>
      </w:r>
      <w:r>
        <w:rPr>
          <w:rFonts w:hint="eastAsia"/>
        </w:rPr>
        <w:t>等；</w:t>
      </w:r>
    </w:p>
    <w:p w14:paraId="495652F9">
      <w:pPr>
        <w:pStyle w:val="112"/>
        <w:numPr>
          <w:ilvl w:val="1"/>
          <w:numId w:val="37"/>
        </w:numPr>
      </w:pPr>
      <w:r>
        <w:t>其他：企业认为有必要采取保密措施的其他技术信息，如未公开的专利申报信息等</w:t>
      </w:r>
      <w:r>
        <w:rPr>
          <w:rFonts w:hint="eastAsia"/>
        </w:rPr>
        <w:t>；</w:t>
      </w:r>
    </w:p>
    <w:p w14:paraId="28DA8A02">
      <w:pPr>
        <w:pStyle w:val="177"/>
        <w:numPr>
          <w:ilvl w:val="0"/>
          <w:numId w:val="36"/>
        </w:numPr>
      </w:pPr>
      <w:r>
        <w:t>经营信息：</w:t>
      </w:r>
    </w:p>
    <w:p w14:paraId="2D49F44D">
      <w:pPr>
        <w:pStyle w:val="112"/>
        <w:numPr>
          <w:ilvl w:val="1"/>
          <w:numId w:val="38"/>
        </w:numPr>
      </w:pPr>
      <w:r>
        <w:t>企业基本信息：组织架构、决议文件、内部通知、规章制度、会议纪要等；</w:t>
      </w:r>
    </w:p>
    <w:p w14:paraId="06AC5AC0">
      <w:pPr>
        <w:pStyle w:val="112"/>
        <w:numPr>
          <w:ilvl w:val="1"/>
          <w:numId w:val="38"/>
        </w:numPr>
      </w:pPr>
      <w:r>
        <w:t>决策信息：与经营活动有关的战略规划（计划）、战略决策、投融资决策、商业模式、研发策略、管理</w:t>
      </w:r>
      <w:r>
        <w:rPr>
          <w:rFonts w:hint="eastAsia"/>
        </w:rPr>
        <w:t>诀窍</w:t>
      </w:r>
      <w:r>
        <w:t>、项目投资策略及方案、专利规划布局、产权交易、股权激励方案等；</w:t>
      </w:r>
    </w:p>
    <w:p w14:paraId="387B1258">
      <w:pPr>
        <w:pStyle w:val="112"/>
        <w:numPr>
          <w:ilvl w:val="1"/>
          <w:numId w:val="38"/>
        </w:numPr>
      </w:pPr>
      <w:r>
        <w:t>经营信息：产购销计划（方案）、产购销协议、招（投）标</w:t>
      </w:r>
      <w:r>
        <w:rPr>
          <w:rFonts w:hint="eastAsia"/>
        </w:rPr>
        <w:t>中的标底及标书内容</w:t>
      </w:r>
      <w:r>
        <w:t>、产购销记录（订单）、运营成本、内部定价文件、产品合格率、库存</w:t>
      </w:r>
      <w:r>
        <w:rPr>
          <w:rFonts w:hint="eastAsia"/>
        </w:rPr>
        <w:t>数据</w:t>
      </w:r>
      <w:r>
        <w:t>、</w:t>
      </w:r>
      <w:r>
        <w:rPr>
          <w:rFonts w:hint="eastAsia"/>
        </w:rPr>
        <w:t>客户数据、</w:t>
      </w:r>
      <w:r>
        <w:t>创意管理等；</w:t>
      </w:r>
    </w:p>
    <w:p w14:paraId="63CD4056">
      <w:pPr>
        <w:pStyle w:val="112"/>
        <w:numPr>
          <w:ilvl w:val="1"/>
          <w:numId w:val="38"/>
        </w:numPr>
      </w:pPr>
      <w:r>
        <w:t>研发信息：研发策略、研发经费预算等；</w:t>
      </w:r>
    </w:p>
    <w:p w14:paraId="16EFE65B">
      <w:pPr>
        <w:pStyle w:val="112"/>
        <w:numPr>
          <w:ilvl w:val="1"/>
          <w:numId w:val="38"/>
        </w:numPr>
      </w:pPr>
      <w:r>
        <w:rPr>
          <w:rFonts w:hint="eastAsia"/>
        </w:rPr>
        <w:t>核心商标配套信息：商标推广方案、核心客户的商标合作需求、商标延伸产品的研发数据等；</w:t>
      </w:r>
    </w:p>
    <w:p w14:paraId="4188B18A">
      <w:pPr>
        <w:pStyle w:val="112"/>
        <w:numPr>
          <w:ilvl w:val="1"/>
          <w:numId w:val="38"/>
        </w:numPr>
      </w:pPr>
      <w:r>
        <w:t>采购信息：</w:t>
      </w:r>
      <w:r>
        <w:rPr>
          <w:rFonts w:hint="eastAsia"/>
        </w:rPr>
        <w:t>货源情报、利润模式、</w:t>
      </w:r>
      <w:r>
        <w:t>主要供应商信息、进价策略、采购渠道、主要原材料指标、</w:t>
      </w:r>
      <w:r>
        <w:rPr>
          <w:rFonts w:hint="eastAsia"/>
        </w:rPr>
        <w:t>采购价格、</w:t>
      </w:r>
      <w:r>
        <w:t>采购计划、采购记录等；</w:t>
      </w:r>
    </w:p>
    <w:p w14:paraId="538B743B">
      <w:pPr>
        <w:pStyle w:val="112"/>
        <w:numPr>
          <w:ilvl w:val="1"/>
          <w:numId w:val="38"/>
        </w:numPr>
      </w:pPr>
      <w:r>
        <w:t>销售信息：营销计划、营销方案、营销政策、营销手册、销售协议、销售记录等；</w:t>
      </w:r>
    </w:p>
    <w:p w14:paraId="42A692C4">
      <w:pPr>
        <w:pStyle w:val="112"/>
        <w:numPr>
          <w:ilvl w:val="1"/>
          <w:numId w:val="38"/>
        </w:numPr>
      </w:pPr>
      <w:r>
        <w:t>财务信息：财务报表、财务分析、统计报表、预决算报告、各类账册、工资信息、银行存款核算、往来核算、成本核算、存货核算、长期投资核算、工资核算、销售核算、所有者权益核算、外部会计报告、内部会计报告、股权调整方案、对外交流和商业谈判摘要等；</w:t>
      </w:r>
    </w:p>
    <w:p w14:paraId="07F1909A">
      <w:pPr>
        <w:pStyle w:val="112"/>
        <w:numPr>
          <w:ilvl w:val="1"/>
          <w:numId w:val="38"/>
        </w:numPr>
      </w:pPr>
      <w:r>
        <w:t>供应商和客户信息：供应商/客户名称、联系人、联系方式、交易习惯、合同内容、交提货方式、款项结算等；</w:t>
      </w:r>
    </w:p>
    <w:p w14:paraId="6810FBBC">
      <w:pPr>
        <w:pStyle w:val="112"/>
        <w:numPr>
          <w:ilvl w:val="1"/>
          <w:numId w:val="38"/>
        </w:numPr>
      </w:pPr>
      <w:r>
        <w:t>人力资源信息：企业人力资源计划、人力资源结构、薪酬方案、员工档案、员工名册、职位、联系方式等；</w:t>
      </w:r>
    </w:p>
    <w:p w14:paraId="73DB81A4">
      <w:pPr>
        <w:pStyle w:val="112"/>
        <w:numPr>
          <w:ilvl w:val="1"/>
          <w:numId w:val="38"/>
        </w:numPr>
      </w:pPr>
      <w:r>
        <w:t>运营信息：企业改革和发展方案、企业技术合作方案、企业突发事件处置方案、企业涉稳事件处置方案、企业突发和涉稳事件处置资料</w:t>
      </w:r>
      <w:r>
        <w:rPr>
          <w:rFonts w:hint="eastAsia"/>
        </w:rPr>
        <w:t>；</w:t>
      </w:r>
    </w:p>
    <w:p w14:paraId="6341BD7E">
      <w:pPr>
        <w:pStyle w:val="112"/>
        <w:numPr>
          <w:ilvl w:val="1"/>
          <w:numId w:val="38"/>
        </w:numPr>
      </w:pPr>
      <w:r>
        <w:t>其他：企业认为有必要采取保密措施其他经营信息</w:t>
      </w:r>
      <w:r>
        <w:rPr>
          <w:rFonts w:hint="eastAsia"/>
        </w:rPr>
        <w:t>；</w:t>
      </w:r>
    </w:p>
    <w:p w14:paraId="55C67334">
      <w:pPr>
        <w:pStyle w:val="177"/>
        <w:numPr>
          <w:ilvl w:val="0"/>
          <w:numId w:val="36"/>
        </w:numPr>
      </w:pPr>
      <w:r>
        <w:t>除技术类涉密信息、经营类涉密信息以外，其他符合商业秘密构成要件的商业信息。</w:t>
      </w:r>
    </w:p>
    <w:p w14:paraId="3A5B8683">
      <w:pPr>
        <w:pStyle w:val="68"/>
        <w:spacing w:before="156" w:after="156"/>
      </w:pPr>
      <w:r>
        <w:t>不</w:t>
      </w:r>
      <w:r>
        <w:rPr>
          <w:rFonts w:hint="eastAsia"/>
        </w:rPr>
        <w:t>属于</w:t>
      </w:r>
      <w:r>
        <w:t>商业秘密的情形</w:t>
      </w:r>
    </w:p>
    <w:p w14:paraId="099181B4">
      <w:pPr>
        <w:pStyle w:val="59"/>
        <w:ind w:firstLine="420"/>
      </w:pPr>
      <w:r>
        <w:rPr>
          <w:rFonts w:hint="eastAsia"/>
        </w:rPr>
        <w:t>下列可认定为公众所知悉的信息不属于企业保护的商业秘密，包括但不限于以下情形：</w:t>
      </w:r>
    </w:p>
    <w:p w14:paraId="06BC41C0">
      <w:pPr>
        <w:pStyle w:val="177"/>
        <w:numPr>
          <w:ilvl w:val="0"/>
          <w:numId w:val="39"/>
        </w:numPr>
      </w:pPr>
      <w:r>
        <w:t>在所属领域属于一般常识或者行业惯例的；</w:t>
      </w:r>
    </w:p>
    <w:p w14:paraId="16D5D02A">
      <w:pPr>
        <w:pStyle w:val="177"/>
        <w:numPr>
          <w:ilvl w:val="0"/>
          <w:numId w:val="39"/>
        </w:numPr>
      </w:pPr>
      <w:r>
        <w:t>仅涉及产品的尺寸、结构、材料、部件的简单组合等内容，所属领域的相关人员通过观察上市产品即可直接获得的；</w:t>
      </w:r>
    </w:p>
    <w:p w14:paraId="1A9E2482">
      <w:pPr>
        <w:pStyle w:val="177"/>
        <w:numPr>
          <w:ilvl w:val="0"/>
          <w:numId w:val="39"/>
        </w:numPr>
      </w:pPr>
      <w:r>
        <w:rPr>
          <w:rFonts w:hint="eastAsia"/>
        </w:rPr>
        <w:t>已</w:t>
      </w:r>
      <w:r>
        <w:t>经在公开出版物或者其他媒体上公开披露的；</w:t>
      </w:r>
    </w:p>
    <w:p w14:paraId="14C08679">
      <w:pPr>
        <w:pStyle w:val="177"/>
        <w:numPr>
          <w:ilvl w:val="0"/>
          <w:numId w:val="39"/>
        </w:numPr>
      </w:pPr>
      <w:r>
        <w:rPr>
          <w:rFonts w:hint="eastAsia"/>
        </w:rPr>
        <w:t>该信息已通过公开的报告会、展览等方式公开的；</w:t>
      </w:r>
    </w:p>
    <w:p w14:paraId="60E848BE">
      <w:pPr>
        <w:pStyle w:val="177"/>
        <w:numPr>
          <w:ilvl w:val="0"/>
          <w:numId w:val="39"/>
        </w:numPr>
      </w:pPr>
      <w:r>
        <w:rPr>
          <w:rFonts w:hint="eastAsia"/>
        </w:rPr>
        <w:t>所属领域的相关人员从其他公开渠道可以获得该信息的；</w:t>
      </w:r>
    </w:p>
    <w:p w14:paraId="09416EFA">
      <w:pPr>
        <w:pStyle w:val="177"/>
        <w:numPr>
          <w:ilvl w:val="0"/>
          <w:numId w:val="39"/>
        </w:numPr>
      </w:pPr>
      <w:r>
        <w:rPr>
          <w:rFonts w:hint="eastAsia"/>
        </w:rPr>
        <w:t>己申请并公开的专利；</w:t>
      </w:r>
    </w:p>
    <w:p w14:paraId="06B32B0F">
      <w:pPr>
        <w:pStyle w:val="177"/>
        <w:numPr>
          <w:ilvl w:val="0"/>
          <w:numId w:val="39"/>
        </w:numPr>
      </w:pPr>
      <w:r>
        <w:rPr>
          <w:rFonts w:hint="eastAsia"/>
        </w:rPr>
        <w:t>法律、法规、规章及相关司法解释规定的其他情形。</w:t>
      </w:r>
    </w:p>
    <w:p w14:paraId="4948217D">
      <w:pPr>
        <w:pStyle w:val="182"/>
      </w:pPr>
      <w:r>
        <w:rPr>
          <w:rFonts w:hint="eastAsia"/>
        </w:rPr>
        <w:t>企业可根据自身情况以核心秘密保护为基础逐步建立健全保密措施，但自主评定的商业秘密在法律维权实践中仍有可能会被司法鉴定机构、司法机关否决。对于此种可能性，企业应当在采取法律维权行动之前进行合理评估。</w:t>
      </w:r>
    </w:p>
    <w:p w14:paraId="2A259BF4">
      <w:pPr>
        <w:pStyle w:val="108"/>
        <w:spacing w:before="156" w:after="156"/>
      </w:pPr>
      <w:bookmarkStart w:id="158" w:name="_Toc18851"/>
      <w:bookmarkStart w:id="159" w:name="_Toc4612"/>
      <w:r>
        <w:rPr>
          <w:rFonts w:hint="eastAsia"/>
        </w:rPr>
        <w:t>密级划分</w:t>
      </w:r>
      <w:bookmarkEnd w:id="158"/>
      <w:bookmarkEnd w:id="159"/>
    </w:p>
    <w:p w14:paraId="7FF20380">
      <w:pPr>
        <w:pStyle w:val="59"/>
        <w:ind w:firstLine="420"/>
      </w:pPr>
      <w:r>
        <w:rPr>
          <w:rFonts w:hint="eastAsia"/>
        </w:rPr>
        <w:t>根据6.1.1，企业宜按以下进一步将商业秘密划分为核心商业秘密、重要商业秘密、一般商业秘密。</w:t>
      </w:r>
    </w:p>
    <w:p w14:paraId="348E0B9B">
      <w:pPr>
        <w:pStyle w:val="177"/>
        <w:numPr>
          <w:ilvl w:val="0"/>
          <w:numId w:val="40"/>
        </w:numPr>
      </w:pPr>
      <w:r>
        <w:rPr>
          <w:rFonts w:hint="eastAsia"/>
        </w:rPr>
        <w:t>核心商业秘密是指对企业生存、发展具有决定性影响，且一旦泄露会对企业的市场地位、竞争优势或经济利益造成重大损害的信息。核心商业秘密包括但不限于以下表现形式：</w:t>
      </w:r>
    </w:p>
    <w:p w14:paraId="253411CC">
      <w:pPr>
        <w:pStyle w:val="112"/>
        <w:numPr>
          <w:ilvl w:val="1"/>
          <w:numId w:val="41"/>
        </w:numPr>
      </w:pPr>
      <w:r>
        <w:rPr>
          <w:rFonts w:hint="eastAsia"/>
        </w:rPr>
        <w:t>关键技术的核心研发资料、专利技术的核心数据；</w:t>
      </w:r>
    </w:p>
    <w:p w14:paraId="4EDB48B8">
      <w:pPr>
        <w:pStyle w:val="112"/>
      </w:pPr>
      <w:r>
        <w:rPr>
          <w:rFonts w:hint="eastAsia"/>
        </w:rPr>
        <w:t>核心产品的设计图纸、生产工艺及配方；</w:t>
      </w:r>
    </w:p>
    <w:p w14:paraId="4F4574C7">
      <w:pPr>
        <w:pStyle w:val="112"/>
      </w:pPr>
      <w:r>
        <w:rPr>
          <w:rFonts w:hint="eastAsia"/>
        </w:rPr>
        <w:t>重大战略规划、市场拓展计划等。</w:t>
      </w:r>
    </w:p>
    <w:p w14:paraId="38071FF5">
      <w:pPr>
        <w:pStyle w:val="177"/>
        <w:numPr>
          <w:ilvl w:val="0"/>
          <w:numId w:val="40"/>
        </w:numPr>
      </w:pPr>
      <w:r>
        <w:rPr>
          <w:rFonts w:hint="eastAsia"/>
        </w:rPr>
        <w:t>重要商业秘密是指对企业经营和发展具有重要影响，泄露后会对企业的市场竞争地位、经济利益或业务运营造成较大损害的信息。重要商业秘密包括但不限于以下表现形式：</w:t>
      </w:r>
    </w:p>
    <w:p w14:paraId="690EF012">
      <w:pPr>
        <w:pStyle w:val="112"/>
        <w:numPr>
          <w:ilvl w:val="1"/>
          <w:numId w:val="42"/>
        </w:numPr>
      </w:pPr>
      <w:r>
        <w:rPr>
          <w:rFonts w:hint="eastAsia"/>
        </w:rPr>
        <w:t>重要的技术参数、设计文档或工程方案；</w:t>
      </w:r>
    </w:p>
    <w:p w14:paraId="2DD5305D">
      <w:pPr>
        <w:pStyle w:val="112"/>
      </w:pPr>
      <w:r>
        <w:rPr>
          <w:rFonts w:hint="eastAsia"/>
        </w:rPr>
        <w:t>重要的客户名单、供应商信息或市场调研数据；</w:t>
      </w:r>
    </w:p>
    <w:p w14:paraId="4FD0A30F">
      <w:pPr>
        <w:pStyle w:val="112"/>
      </w:pPr>
      <w:r>
        <w:rPr>
          <w:rFonts w:hint="eastAsia"/>
        </w:rPr>
        <w:t>企业的经营策略、财务数据或重大项目的实施计划。</w:t>
      </w:r>
    </w:p>
    <w:p w14:paraId="786CB6AB">
      <w:pPr>
        <w:pStyle w:val="177"/>
        <w:numPr>
          <w:ilvl w:val="0"/>
          <w:numId w:val="40"/>
        </w:numPr>
      </w:pPr>
      <w:r>
        <w:rPr>
          <w:rFonts w:hint="eastAsia"/>
        </w:rPr>
        <w:t>一般商业秘密是指对企业日常经营具有一定价值，泄露后会对企业的利益造成一定影响，但影响范围和程度较小的信息。一般商业秘密包括但不限于以下表现形式：</w:t>
      </w:r>
    </w:p>
    <w:p w14:paraId="158FFD6C">
      <w:pPr>
        <w:pStyle w:val="112"/>
        <w:numPr>
          <w:ilvl w:val="1"/>
          <w:numId w:val="43"/>
        </w:numPr>
      </w:pPr>
      <w:r>
        <w:rPr>
          <w:rFonts w:hint="eastAsia"/>
        </w:rPr>
        <w:t>一般性的管理方法、操作流程或内部报告；</w:t>
      </w:r>
    </w:p>
    <w:p w14:paraId="46899EFB">
      <w:pPr>
        <w:pStyle w:val="112"/>
      </w:pPr>
      <w:r>
        <w:rPr>
          <w:rFonts w:hint="eastAsia"/>
        </w:rPr>
        <w:t>非核心的技术细节、市场推广方案或会议记录；</w:t>
      </w:r>
    </w:p>
    <w:p w14:paraId="44BAA9C9">
      <w:pPr>
        <w:pStyle w:val="112"/>
      </w:pPr>
      <w:r>
        <w:rPr>
          <w:rFonts w:hint="eastAsia"/>
        </w:rPr>
        <w:t>内部沟通中的敏感信息或阶段性成果。</w:t>
      </w:r>
    </w:p>
    <w:p w14:paraId="59AA7EA0">
      <w:pPr>
        <w:pStyle w:val="59"/>
        <w:ind w:firstLine="420"/>
      </w:pPr>
      <w:r>
        <w:rPr>
          <w:rFonts w:hint="eastAsia"/>
        </w:rPr>
        <w:t>企业应根据实际情况，结合商业秘密的性质、价值和泄露风险等因素，实行定期复评、动态调整。</w:t>
      </w:r>
    </w:p>
    <w:p w14:paraId="1224273F">
      <w:pPr>
        <w:pStyle w:val="108"/>
        <w:spacing w:before="156" w:after="156"/>
      </w:pPr>
      <w:bookmarkStart w:id="160" w:name="_Toc17984"/>
      <w:bookmarkStart w:id="161" w:name="_Toc32613"/>
      <w:r>
        <w:t>保密期限</w:t>
      </w:r>
      <w:bookmarkEnd w:id="160"/>
      <w:bookmarkEnd w:id="161"/>
    </w:p>
    <w:p w14:paraId="6BB9F6FB">
      <w:pPr>
        <w:pStyle w:val="59"/>
        <w:ind w:firstLine="420"/>
      </w:pPr>
      <w:r>
        <w:t>企业</w:t>
      </w:r>
      <w:r>
        <w:rPr>
          <w:rFonts w:hint="eastAsia"/>
        </w:rPr>
        <w:t>宜</w:t>
      </w:r>
      <w:r>
        <w:t>根据商业秘密的密级划分以及商业秘密生命周期、技术成熟程度、潜在价值、市场需求等，确定商业秘密保密期限。</w:t>
      </w:r>
    </w:p>
    <w:p w14:paraId="063C2274">
      <w:pPr>
        <w:pStyle w:val="108"/>
        <w:spacing w:before="156" w:after="156"/>
      </w:pPr>
      <w:bookmarkStart w:id="162" w:name="_Toc5733"/>
      <w:bookmarkStart w:id="163" w:name="_Toc7970"/>
      <w:r>
        <w:t>接触范围</w:t>
      </w:r>
      <w:bookmarkEnd w:id="162"/>
      <w:bookmarkEnd w:id="163"/>
    </w:p>
    <w:p w14:paraId="1F8CEF15">
      <w:pPr>
        <w:pStyle w:val="59"/>
        <w:ind w:firstLine="420"/>
      </w:pPr>
      <w:r>
        <w:rPr>
          <w:rFonts w:hint="eastAsia"/>
        </w:rPr>
        <w:t>商业秘密接触范围应符合以下要求：</w:t>
      </w:r>
    </w:p>
    <w:p w14:paraId="05EE9EC8">
      <w:pPr>
        <w:pStyle w:val="177"/>
        <w:numPr>
          <w:ilvl w:val="0"/>
          <w:numId w:val="44"/>
        </w:numPr>
      </w:pPr>
      <w:r>
        <w:t>根据商业秘密的内容和密级，确定商业秘密的主责部门与接触范围</w:t>
      </w:r>
      <w:r>
        <w:rPr>
          <w:rFonts w:hint="eastAsia"/>
        </w:rPr>
        <w:t>；</w:t>
      </w:r>
    </w:p>
    <w:p w14:paraId="2720B22A">
      <w:pPr>
        <w:pStyle w:val="177"/>
        <w:numPr>
          <w:ilvl w:val="0"/>
          <w:numId w:val="44"/>
        </w:numPr>
      </w:pPr>
      <w:r>
        <w:t>保留接触范围的成文信息。</w:t>
      </w:r>
    </w:p>
    <w:p w14:paraId="39EC2865">
      <w:pPr>
        <w:pStyle w:val="108"/>
        <w:spacing w:before="156" w:after="156"/>
      </w:pPr>
      <w:bookmarkStart w:id="164" w:name="_Toc24894"/>
      <w:bookmarkStart w:id="165" w:name="_Toc18088"/>
      <w:r>
        <w:t>流</w:t>
      </w:r>
      <w:r>
        <w:rPr>
          <w:rFonts w:hint="eastAsia"/>
        </w:rPr>
        <w:t>转</w:t>
      </w:r>
      <w:bookmarkEnd w:id="164"/>
      <w:bookmarkEnd w:id="165"/>
    </w:p>
    <w:p w14:paraId="2E2985F3">
      <w:pPr>
        <w:pStyle w:val="59"/>
        <w:ind w:firstLine="420"/>
      </w:pPr>
      <w:r>
        <w:rPr>
          <w:rFonts w:hint="eastAsia"/>
        </w:rPr>
        <w:t>商业秘密流转应符合以下要求：</w:t>
      </w:r>
    </w:p>
    <w:p w14:paraId="134985B5">
      <w:pPr>
        <w:pStyle w:val="177"/>
        <w:numPr>
          <w:ilvl w:val="0"/>
          <w:numId w:val="45"/>
        </w:numPr>
      </w:pPr>
      <w:r>
        <w:t>根据商业秘密的内容和密级确定商业秘密的流转要求</w:t>
      </w:r>
      <w:r>
        <w:rPr>
          <w:rFonts w:hint="eastAsia"/>
        </w:rPr>
        <w:t>；</w:t>
      </w:r>
    </w:p>
    <w:p w14:paraId="0A6C8BFB">
      <w:pPr>
        <w:pStyle w:val="177"/>
        <w:numPr>
          <w:ilvl w:val="0"/>
          <w:numId w:val="45"/>
        </w:numPr>
      </w:pPr>
      <w:r>
        <w:rPr>
          <w:rFonts w:hint="eastAsia"/>
        </w:rPr>
        <w:t>对于涉及商业秘密的文件，通过书面审核流程或带有时间戳的电子审核流程，使其受控；</w:t>
      </w:r>
    </w:p>
    <w:p w14:paraId="5EF69081">
      <w:pPr>
        <w:pStyle w:val="177"/>
        <w:numPr>
          <w:ilvl w:val="0"/>
          <w:numId w:val="45"/>
        </w:numPr>
      </w:pPr>
      <w:r>
        <w:rPr>
          <w:rFonts w:hint="eastAsia"/>
        </w:rPr>
        <w:t>针对不同密级的商业秘密及其流转要求，企业应明确采取的必要技术措施，包括但不限于软硬件加密、物理空间隔离等，并保留实施技术措施的证据；</w:t>
      </w:r>
    </w:p>
    <w:p w14:paraId="00031353">
      <w:pPr>
        <w:pStyle w:val="177"/>
        <w:numPr>
          <w:ilvl w:val="0"/>
          <w:numId w:val="45"/>
        </w:numPr>
      </w:pPr>
      <w:r>
        <w:t>通过信息系统或者会议等形式发布时，应采取签字或者数字化身份认证等方式记录接触范围</w:t>
      </w:r>
      <w:r>
        <w:rPr>
          <w:rFonts w:hint="eastAsia"/>
        </w:rPr>
        <w:t>；</w:t>
      </w:r>
    </w:p>
    <w:p w14:paraId="1761D0DE">
      <w:pPr>
        <w:pStyle w:val="177"/>
        <w:numPr>
          <w:ilvl w:val="0"/>
          <w:numId w:val="45"/>
        </w:numPr>
      </w:pPr>
      <w:r>
        <w:rPr>
          <w:rFonts w:hint="eastAsia"/>
        </w:rPr>
        <w:t>对外发布论文、展会、参加学术会议等需要公开企业相关信息的，应进行相关保密审查；</w:t>
      </w:r>
    </w:p>
    <w:p w14:paraId="317DDE57">
      <w:pPr>
        <w:pStyle w:val="177"/>
        <w:numPr>
          <w:ilvl w:val="0"/>
          <w:numId w:val="45"/>
        </w:numPr>
      </w:pPr>
      <w:r>
        <w:rPr>
          <w:rFonts w:hint="eastAsia"/>
        </w:rPr>
        <w:t>制定内部商业秘密管理和流转、发布相关管理规定；</w:t>
      </w:r>
    </w:p>
    <w:p w14:paraId="13254810">
      <w:pPr>
        <w:pStyle w:val="177"/>
        <w:numPr>
          <w:ilvl w:val="0"/>
          <w:numId w:val="45"/>
        </w:numPr>
      </w:pPr>
      <w:r>
        <w:t>保留商业秘密流转的成文信息。</w:t>
      </w:r>
    </w:p>
    <w:p w14:paraId="5DA377AF">
      <w:pPr>
        <w:pStyle w:val="108"/>
        <w:spacing w:before="156" w:after="156"/>
      </w:pPr>
      <w:bookmarkStart w:id="166" w:name="_Toc18895"/>
      <w:bookmarkStart w:id="167" w:name="_Toc24076"/>
      <w:r>
        <w:t>存证</w:t>
      </w:r>
      <w:bookmarkEnd w:id="166"/>
      <w:bookmarkEnd w:id="167"/>
    </w:p>
    <w:p w14:paraId="7DDC904A">
      <w:pPr>
        <w:pStyle w:val="59"/>
        <w:ind w:firstLine="420"/>
      </w:pPr>
      <w:r>
        <w:t>企业</w:t>
      </w:r>
      <w:r>
        <w:rPr>
          <w:rFonts w:hint="eastAsia"/>
        </w:rPr>
        <w:t>宜</w:t>
      </w:r>
      <w:r>
        <w:t>根据涉密载体管理条件、商业秘密的密级与载体情况确定合适的存证方式：</w:t>
      </w:r>
    </w:p>
    <w:p w14:paraId="056B7CDF">
      <w:pPr>
        <w:pStyle w:val="177"/>
        <w:numPr>
          <w:ilvl w:val="0"/>
          <w:numId w:val="46"/>
        </w:numPr>
      </w:pPr>
      <w:r>
        <w:t>对于商业秘密所涉及的文件，企业应通过编校审等书面签字审核流程或带有时间戳的电子审核流程，使之成为受控文件；</w:t>
      </w:r>
    </w:p>
    <w:p w14:paraId="396EA191">
      <w:pPr>
        <w:pStyle w:val="177"/>
        <w:numPr>
          <w:ilvl w:val="0"/>
          <w:numId w:val="46"/>
        </w:numPr>
      </w:pPr>
      <w:r>
        <w:t>将必要且适当的涉密载体委托第三方机构进行存证。第三方机构应为具有一定社会公信力的、独立的、经相关司法机关认可的法人主体。商业秘密存证的信息载体可以是报告、论文、图纸、磁带、磁盘等信息化载体，也可以是样品、样机等物化载体。</w:t>
      </w:r>
    </w:p>
    <w:p w14:paraId="2B111770">
      <w:pPr>
        <w:pStyle w:val="108"/>
        <w:spacing w:before="156" w:after="156"/>
      </w:pPr>
      <w:bookmarkStart w:id="168" w:name="_Toc990"/>
      <w:bookmarkStart w:id="169" w:name="_Toc18314"/>
      <w:r>
        <w:rPr>
          <w:rFonts w:hint="eastAsia"/>
        </w:rPr>
        <w:t>商业秘密</w:t>
      </w:r>
      <w:r>
        <w:t>清单</w:t>
      </w:r>
      <w:bookmarkEnd w:id="168"/>
      <w:bookmarkEnd w:id="169"/>
    </w:p>
    <w:p w14:paraId="51044B89">
      <w:pPr>
        <w:pStyle w:val="59"/>
        <w:ind w:firstLine="420"/>
      </w:pPr>
      <w:r>
        <w:t>企业应形成商业秘密清单，内容包括</w:t>
      </w:r>
      <w:r>
        <w:rPr>
          <w:rFonts w:hint="eastAsia"/>
        </w:rPr>
        <w:t>但不限于</w:t>
      </w:r>
      <w:r>
        <w:t>商业秘密主题、密级、保密期限</w:t>
      </w:r>
      <w:r>
        <w:rPr>
          <w:rFonts w:hint="eastAsia"/>
        </w:rPr>
        <w:t>、</w:t>
      </w:r>
      <w:r>
        <w:t>主责部门、接触范围、流转要求、保存方式、存证方式等。</w:t>
      </w:r>
    </w:p>
    <w:p w14:paraId="27578E64">
      <w:pPr>
        <w:pStyle w:val="108"/>
        <w:spacing w:before="156" w:after="156"/>
      </w:pPr>
      <w:bookmarkStart w:id="170" w:name="_Toc14624"/>
      <w:bookmarkStart w:id="171" w:name="_Toc23434"/>
      <w:bookmarkStart w:id="172" w:name="_Toc17279"/>
      <w:bookmarkStart w:id="173" w:name="_Toc10023"/>
      <w:bookmarkStart w:id="174" w:name="_Toc26206"/>
      <w:r>
        <w:t>隐</w:t>
      </w:r>
      <w:r>
        <w:rPr>
          <w:rFonts w:hint="eastAsia"/>
        </w:rPr>
        <w:t>密</w:t>
      </w:r>
      <w:bookmarkEnd w:id="170"/>
      <w:bookmarkEnd w:id="171"/>
      <w:bookmarkEnd w:id="172"/>
      <w:bookmarkEnd w:id="173"/>
      <w:bookmarkEnd w:id="174"/>
    </w:p>
    <w:p w14:paraId="13EBF5FA">
      <w:pPr>
        <w:pStyle w:val="168"/>
      </w:pPr>
      <w:r>
        <w:t>应对</w:t>
      </w:r>
      <w:r>
        <w:rPr>
          <w:rFonts w:hint="eastAsia"/>
        </w:rPr>
        <w:t>包括但不限于下列情形涉及的企业商业秘密</w:t>
      </w:r>
      <w:r>
        <w:t>相关信息予以隐藏：</w:t>
      </w:r>
    </w:p>
    <w:p w14:paraId="157150AC">
      <w:pPr>
        <w:pStyle w:val="177"/>
        <w:numPr>
          <w:ilvl w:val="0"/>
          <w:numId w:val="47"/>
        </w:numPr>
      </w:pPr>
      <w:r>
        <w:t>与</w:t>
      </w:r>
      <w:r>
        <w:rPr>
          <w:rFonts w:hint="eastAsia"/>
        </w:rPr>
        <w:t>外部合作方（如供应商、合作伙伴）</w:t>
      </w:r>
      <w:r>
        <w:t>的沟通和信息往来中；</w:t>
      </w:r>
    </w:p>
    <w:p w14:paraId="2048329D">
      <w:pPr>
        <w:pStyle w:val="177"/>
        <w:numPr>
          <w:ilvl w:val="0"/>
          <w:numId w:val="47"/>
        </w:numPr>
      </w:pPr>
      <w:r>
        <w:rPr>
          <w:rFonts w:hint="eastAsia"/>
        </w:rPr>
        <w:t>对外发布论文、展会、参加学术会议等需要公开企业相关信息时；</w:t>
      </w:r>
    </w:p>
    <w:p w14:paraId="2DCA2571">
      <w:pPr>
        <w:pStyle w:val="177"/>
        <w:numPr>
          <w:ilvl w:val="0"/>
          <w:numId w:val="47"/>
        </w:numPr>
      </w:pPr>
      <w:r>
        <w:t>其他情形。</w:t>
      </w:r>
    </w:p>
    <w:p w14:paraId="6BE3E1B0">
      <w:pPr>
        <w:pStyle w:val="168"/>
      </w:pPr>
      <w:r>
        <w:t>配合行政检查、执法</w:t>
      </w:r>
      <w:r>
        <w:rPr>
          <w:rFonts w:hint="eastAsia"/>
        </w:rPr>
        <w:t>等</w:t>
      </w:r>
      <w:r>
        <w:t>行动中，涉及</w:t>
      </w:r>
      <w:r>
        <w:rPr>
          <w:rFonts w:hint="eastAsia"/>
        </w:rPr>
        <w:t>企业商业秘密</w:t>
      </w:r>
      <w:r>
        <w:t>的，企业应主动提醒执法人员履行保密义务。</w:t>
      </w:r>
    </w:p>
    <w:p w14:paraId="6617F0FD">
      <w:pPr>
        <w:pStyle w:val="168"/>
      </w:pPr>
      <w:r>
        <w:t>可采取</w:t>
      </w:r>
      <w:r>
        <w:rPr>
          <w:rFonts w:hint="eastAsia"/>
        </w:rPr>
        <w:t>包括但不限于以下隐密</w:t>
      </w:r>
      <w:r>
        <w:t>方式：</w:t>
      </w:r>
    </w:p>
    <w:p w14:paraId="000CC867">
      <w:pPr>
        <w:pStyle w:val="177"/>
        <w:numPr>
          <w:ilvl w:val="0"/>
          <w:numId w:val="48"/>
        </w:numPr>
      </w:pPr>
      <w:r>
        <w:t>隐藏或删除；</w:t>
      </w:r>
    </w:p>
    <w:p w14:paraId="73A8922C">
      <w:pPr>
        <w:pStyle w:val="177"/>
        <w:numPr>
          <w:ilvl w:val="0"/>
          <w:numId w:val="48"/>
        </w:numPr>
      </w:pPr>
      <w:r>
        <w:t>模糊化处理；</w:t>
      </w:r>
    </w:p>
    <w:p w14:paraId="28FE2736">
      <w:pPr>
        <w:pStyle w:val="177"/>
        <w:numPr>
          <w:ilvl w:val="0"/>
          <w:numId w:val="48"/>
        </w:numPr>
      </w:pPr>
      <w:r>
        <w:t>其他方式。</w:t>
      </w:r>
    </w:p>
    <w:p w14:paraId="017525F9">
      <w:pPr>
        <w:pStyle w:val="108"/>
        <w:spacing w:before="156" w:after="156"/>
      </w:pPr>
      <w:bookmarkStart w:id="175" w:name="_Toc29432"/>
      <w:bookmarkStart w:id="176" w:name="_Toc4101"/>
      <w:r>
        <w:rPr>
          <w:rFonts w:hint="eastAsia"/>
        </w:rPr>
        <w:t>变更</w:t>
      </w:r>
      <w:bookmarkEnd w:id="175"/>
      <w:bookmarkEnd w:id="176"/>
    </w:p>
    <w:p w14:paraId="2357802F">
      <w:pPr>
        <w:pStyle w:val="168"/>
      </w:pPr>
      <w:r>
        <w:t>企业的商业秘密出现</w:t>
      </w:r>
      <w:r>
        <w:rPr>
          <w:rFonts w:hint="eastAsia"/>
        </w:rPr>
        <w:t>包括但不限于</w:t>
      </w:r>
      <w:r>
        <w:t>下列情形时，应及时变更：</w:t>
      </w:r>
    </w:p>
    <w:p w14:paraId="300F6C30">
      <w:pPr>
        <w:pStyle w:val="177"/>
        <w:numPr>
          <w:ilvl w:val="0"/>
          <w:numId w:val="49"/>
        </w:numPr>
      </w:pPr>
      <w:r>
        <w:t>因工作需要或人员变动，知悉范围有较大变化的；</w:t>
      </w:r>
    </w:p>
    <w:p w14:paraId="64D20EC9">
      <w:pPr>
        <w:pStyle w:val="177"/>
        <w:numPr>
          <w:ilvl w:val="0"/>
          <w:numId w:val="49"/>
        </w:numPr>
      </w:pPr>
      <w:r>
        <w:t>因法律法规或政策改变，商业秘密级别出现变化的；</w:t>
      </w:r>
    </w:p>
    <w:p w14:paraId="62A64274">
      <w:pPr>
        <w:pStyle w:val="177"/>
        <w:numPr>
          <w:ilvl w:val="0"/>
          <w:numId w:val="49"/>
        </w:numPr>
      </w:pPr>
      <w:r>
        <w:t>保密期限已经发生变化的；</w:t>
      </w:r>
    </w:p>
    <w:p w14:paraId="00E7FEB9">
      <w:pPr>
        <w:pStyle w:val="177"/>
        <w:numPr>
          <w:ilvl w:val="0"/>
          <w:numId w:val="49"/>
        </w:numPr>
      </w:pPr>
      <w:r>
        <w:t>商业秘密泄露后对企业利益的损害程度发生变化的。</w:t>
      </w:r>
    </w:p>
    <w:p w14:paraId="0B0863FA">
      <w:pPr>
        <w:pStyle w:val="168"/>
      </w:pPr>
      <w:r>
        <w:t>变更流程</w:t>
      </w:r>
      <w:r>
        <w:rPr>
          <w:rFonts w:hint="eastAsia"/>
        </w:rPr>
        <w:t>包括但不限于</w:t>
      </w:r>
      <w:r>
        <w:t>：</w:t>
      </w:r>
    </w:p>
    <w:p w14:paraId="769309F3">
      <w:pPr>
        <w:pStyle w:val="177"/>
        <w:numPr>
          <w:ilvl w:val="0"/>
          <w:numId w:val="50"/>
        </w:numPr>
      </w:pPr>
      <w:r>
        <w:t>业务</w:t>
      </w:r>
      <w:r>
        <w:rPr>
          <w:rFonts w:hint="eastAsia"/>
        </w:rPr>
        <w:t>部</w:t>
      </w:r>
      <w:r>
        <w:t>门向</w:t>
      </w:r>
      <w:r>
        <w:rPr>
          <w:rFonts w:hint="eastAsia"/>
        </w:rPr>
        <w:t>商业秘密保护委员会</w:t>
      </w:r>
      <w:r>
        <w:t>提交商业秘密变更申请；</w:t>
      </w:r>
    </w:p>
    <w:p w14:paraId="3BEDDCB1">
      <w:pPr>
        <w:pStyle w:val="177"/>
        <w:numPr>
          <w:ilvl w:val="0"/>
          <w:numId w:val="50"/>
        </w:numPr>
      </w:pPr>
      <w:r>
        <w:rPr>
          <w:rFonts w:hint="eastAsia"/>
        </w:rPr>
        <w:t>商业秘密保护委员会</w:t>
      </w:r>
      <w:r>
        <w:t>对商业秘密进行评估审核；</w:t>
      </w:r>
    </w:p>
    <w:p w14:paraId="0C297FDD">
      <w:pPr>
        <w:pStyle w:val="177"/>
        <w:numPr>
          <w:ilvl w:val="0"/>
          <w:numId w:val="50"/>
        </w:numPr>
      </w:pPr>
      <w:r>
        <w:rPr>
          <w:rFonts w:hint="eastAsia"/>
        </w:rPr>
        <w:t>密级</w:t>
      </w:r>
      <w:r>
        <w:t>和保密期限变更后，相关部门应及时变更标识。</w:t>
      </w:r>
    </w:p>
    <w:p w14:paraId="6756537B">
      <w:pPr>
        <w:pStyle w:val="108"/>
        <w:spacing w:before="156" w:after="156"/>
      </w:pPr>
      <w:bookmarkStart w:id="177" w:name="bookmark15"/>
      <w:bookmarkEnd w:id="177"/>
      <w:bookmarkStart w:id="178" w:name="bookmark14"/>
      <w:bookmarkEnd w:id="178"/>
      <w:bookmarkStart w:id="179" w:name="_Toc21043"/>
      <w:bookmarkStart w:id="180" w:name="_Toc18618"/>
      <w:bookmarkStart w:id="181" w:name="_Toc27701"/>
      <w:bookmarkStart w:id="182" w:name="_Toc23841"/>
      <w:bookmarkStart w:id="183" w:name="_Toc27842"/>
      <w:r>
        <w:rPr>
          <w:rFonts w:hint="eastAsia"/>
        </w:rPr>
        <w:t>更新与</w:t>
      </w:r>
      <w:r>
        <w:t>解密</w:t>
      </w:r>
      <w:bookmarkEnd w:id="179"/>
      <w:bookmarkEnd w:id="180"/>
      <w:bookmarkEnd w:id="181"/>
      <w:bookmarkEnd w:id="182"/>
      <w:bookmarkEnd w:id="183"/>
    </w:p>
    <w:p w14:paraId="5408A093">
      <w:pPr>
        <w:pStyle w:val="168"/>
      </w:pPr>
      <w:r>
        <w:rPr>
          <w:rFonts w:hint="eastAsia"/>
        </w:rPr>
        <w:t>在重大经营活动、项目的重要节点，及时开展商业秘密遴选工作，确保商业秘密范围和密级及时更新，并对商业秘密清单予以动态更新</w:t>
      </w:r>
      <w:r>
        <w:t>。</w:t>
      </w:r>
    </w:p>
    <w:p w14:paraId="6B215736">
      <w:pPr>
        <w:pStyle w:val="168"/>
      </w:pPr>
      <w:r>
        <w:rPr>
          <w:rFonts w:hint="eastAsia"/>
        </w:rPr>
        <w:t>企业应定期评估、考察商业秘密是否需要解密，解密后应对商业秘密清单予以更新。</w:t>
      </w:r>
    </w:p>
    <w:p w14:paraId="20911FCA">
      <w:pPr>
        <w:pStyle w:val="168"/>
      </w:pPr>
      <w:r>
        <w:t>企业的商业秘密出现</w:t>
      </w:r>
      <w:r>
        <w:rPr>
          <w:rFonts w:hint="eastAsia"/>
        </w:rPr>
        <w:t>包括但不限于以下</w:t>
      </w:r>
      <w:r>
        <w:t>情形时，可予以解密：</w:t>
      </w:r>
    </w:p>
    <w:p w14:paraId="6E67C580">
      <w:pPr>
        <w:pStyle w:val="177"/>
        <w:numPr>
          <w:ilvl w:val="0"/>
          <w:numId w:val="51"/>
        </w:numPr>
      </w:pPr>
      <w:r>
        <w:t>商业秘密</w:t>
      </w:r>
      <w:r>
        <w:rPr>
          <w:rFonts w:hint="eastAsia"/>
        </w:rPr>
        <w:t>已</w:t>
      </w:r>
      <w:r>
        <w:t>不再具有保护价值的；</w:t>
      </w:r>
    </w:p>
    <w:p w14:paraId="538A0C3F">
      <w:pPr>
        <w:pStyle w:val="177"/>
        <w:numPr>
          <w:ilvl w:val="0"/>
          <w:numId w:val="51"/>
        </w:numPr>
      </w:pPr>
      <w:r>
        <w:t>保密期限届满的；</w:t>
      </w:r>
    </w:p>
    <w:p w14:paraId="538F2D4B">
      <w:pPr>
        <w:pStyle w:val="177"/>
        <w:numPr>
          <w:ilvl w:val="0"/>
          <w:numId w:val="51"/>
        </w:numPr>
      </w:pPr>
      <w:r>
        <w:t>其他因素导致商业秘密被公开的。</w:t>
      </w:r>
    </w:p>
    <w:p w14:paraId="793B8BAD">
      <w:pPr>
        <w:pStyle w:val="168"/>
      </w:pPr>
      <w:r>
        <w:t>解密方式包括</w:t>
      </w:r>
      <w:r>
        <w:rPr>
          <w:rFonts w:hint="eastAsia"/>
        </w:rPr>
        <w:t>但不限于</w:t>
      </w:r>
      <w:r>
        <w:t>：</w:t>
      </w:r>
    </w:p>
    <w:p w14:paraId="55EE14D5">
      <w:pPr>
        <w:pStyle w:val="177"/>
        <w:numPr>
          <w:ilvl w:val="0"/>
          <w:numId w:val="52"/>
        </w:numPr>
      </w:pPr>
      <w:r>
        <w:t>消除或变更密级标识、提示；</w:t>
      </w:r>
    </w:p>
    <w:p w14:paraId="128C61A2">
      <w:pPr>
        <w:pStyle w:val="177"/>
        <w:numPr>
          <w:ilvl w:val="0"/>
          <w:numId w:val="52"/>
        </w:numPr>
      </w:pPr>
      <w:r>
        <w:rPr>
          <w:rFonts w:hint="eastAsia"/>
        </w:rPr>
        <w:t>解除</w:t>
      </w:r>
      <w:r>
        <w:t>电子文档</w:t>
      </w:r>
      <w:r>
        <w:rPr>
          <w:rFonts w:hint="eastAsia"/>
        </w:rPr>
        <w:t>限制措施</w:t>
      </w:r>
      <w:r>
        <w:t>；</w:t>
      </w:r>
    </w:p>
    <w:p w14:paraId="45112B28">
      <w:pPr>
        <w:pStyle w:val="177"/>
        <w:numPr>
          <w:ilvl w:val="0"/>
          <w:numId w:val="52"/>
        </w:numPr>
      </w:pPr>
      <w:r>
        <w:t>移出涉密区域</w:t>
      </w:r>
      <w:r>
        <w:rPr>
          <w:rFonts w:hint="eastAsia"/>
        </w:rPr>
        <w:t>。</w:t>
      </w:r>
    </w:p>
    <w:p w14:paraId="1088FE7B">
      <w:pPr>
        <w:pStyle w:val="107"/>
        <w:spacing w:before="312" w:after="312"/>
      </w:pPr>
      <w:bookmarkStart w:id="184" w:name="bookmark17"/>
      <w:bookmarkEnd w:id="184"/>
      <w:bookmarkStart w:id="185" w:name="bookmark16"/>
      <w:bookmarkEnd w:id="185"/>
      <w:bookmarkStart w:id="186" w:name="_Toc219723713"/>
      <w:bookmarkStart w:id="187" w:name="_Toc18825"/>
      <w:bookmarkStart w:id="188" w:name="_Toc11486"/>
      <w:bookmarkStart w:id="189" w:name="_Toc18417"/>
      <w:bookmarkStart w:id="190" w:name="_Toc11205"/>
      <w:bookmarkStart w:id="191" w:name="_Toc27503"/>
      <w:bookmarkStart w:id="192" w:name="_Toc19684"/>
      <w:bookmarkStart w:id="193" w:name="_Toc214009864"/>
      <w:bookmarkStart w:id="194" w:name="_Toc15455"/>
      <w:bookmarkStart w:id="195" w:name="_Toc12345"/>
      <w:bookmarkStart w:id="196" w:name="_Toc214009897"/>
      <w:bookmarkStart w:id="197" w:name="_Toc12331"/>
      <w:r>
        <w:t>涉密载体管理</w:t>
      </w:r>
      <w:bookmarkEnd w:id="186"/>
      <w:bookmarkEnd w:id="187"/>
      <w:bookmarkEnd w:id="188"/>
      <w:bookmarkEnd w:id="189"/>
      <w:bookmarkEnd w:id="190"/>
      <w:bookmarkEnd w:id="191"/>
      <w:bookmarkEnd w:id="192"/>
      <w:bookmarkEnd w:id="193"/>
      <w:bookmarkEnd w:id="194"/>
      <w:bookmarkEnd w:id="195"/>
      <w:bookmarkEnd w:id="196"/>
      <w:bookmarkEnd w:id="197"/>
    </w:p>
    <w:p w14:paraId="14871396">
      <w:pPr>
        <w:pStyle w:val="108"/>
        <w:spacing w:before="156" w:after="156"/>
      </w:pPr>
      <w:bookmarkStart w:id="198" w:name="_Toc24502"/>
      <w:bookmarkStart w:id="199" w:name="_Toc29059"/>
      <w:bookmarkStart w:id="200" w:name="_Toc14797"/>
      <w:bookmarkStart w:id="201" w:name="_Toc4109"/>
      <w:bookmarkStart w:id="202" w:name="_Toc30290"/>
      <w:r>
        <w:t>制作</w:t>
      </w:r>
      <w:bookmarkEnd w:id="198"/>
      <w:bookmarkEnd w:id="199"/>
      <w:bookmarkEnd w:id="200"/>
      <w:bookmarkEnd w:id="201"/>
      <w:bookmarkEnd w:id="202"/>
    </w:p>
    <w:p w14:paraId="4E72D7F2">
      <w:pPr>
        <w:pStyle w:val="168"/>
      </w:pPr>
      <w:r>
        <w:rPr>
          <w:rFonts w:hint="eastAsia"/>
        </w:rPr>
        <w:t>涉密载体的制作过程，应严格控制内容、格式和分发范围，确保符合保密要求。</w:t>
      </w:r>
    </w:p>
    <w:p w14:paraId="303F5776">
      <w:pPr>
        <w:pStyle w:val="168"/>
      </w:pPr>
      <w:r>
        <w:rPr>
          <w:rFonts w:hint="eastAsia"/>
        </w:rPr>
        <w:t>应根据保密范围对制作的涉密载体进行管理，如有条件，应用加密系统，对保密文件进行自动加密。</w:t>
      </w:r>
    </w:p>
    <w:p w14:paraId="34539400">
      <w:pPr>
        <w:pStyle w:val="168"/>
      </w:pPr>
      <w:r>
        <w:rPr>
          <w:rFonts w:hint="eastAsia"/>
        </w:rPr>
        <w:t>在制作包含商业秘密的涉密载体时，应明确其密级并标记相应的保密标识。</w:t>
      </w:r>
    </w:p>
    <w:p w14:paraId="7B2A9888">
      <w:pPr>
        <w:pStyle w:val="168"/>
      </w:pPr>
      <w:r>
        <w:rPr>
          <w:rFonts w:hint="eastAsia"/>
        </w:rPr>
        <w:t>应建立详细的记录档案，在发放时严格按照批准的范围执行，并做好发放记录。</w:t>
      </w:r>
    </w:p>
    <w:p w14:paraId="49C4A8FE">
      <w:pPr>
        <w:pStyle w:val="168"/>
      </w:pPr>
      <w:r>
        <w:rPr>
          <w:rFonts w:hint="eastAsia"/>
        </w:rPr>
        <w:t>委托外部单位制作时，应事先签订保密协议或在合同条款中明确保密事项及违约责任。</w:t>
      </w:r>
    </w:p>
    <w:p w14:paraId="534ADD20">
      <w:pPr>
        <w:pStyle w:val="108"/>
        <w:spacing w:before="156" w:after="156"/>
      </w:pPr>
      <w:bookmarkStart w:id="203" w:name="_Toc30113"/>
      <w:bookmarkStart w:id="204" w:name="_Toc342"/>
      <w:bookmarkStart w:id="205" w:name="_Toc28096"/>
      <w:bookmarkStart w:id="206" w:name="_Toc4697"/>
      <w:bookmarkStart w:id="207" w:name="_Toc27176"/>
      <w:r>
        <w:t>收发与</w:t>
      </w:r>
      <w:bookmarkEnd w:id="203"/>
      <w:bookmarkEnd w:id="204"/>
      <w:bookmarkEnd w:id="205"/>
      <w:r>
        <w:rPr>
          <w:rFonts w:hint="eastAsia"/>
        </w:rPr>
        <w:t>流转</w:t>
      </w:r>
      <w:bookmarkEnd w:id="206"/>
      <w:bookmarkEnd w:id="207"/>
    </w:p>
    <w:p w14:paraId="3ED55EB1">
      <w:pPr>
        <w:pStyle w:val="168"/>
      </w:pPr>
      <w:r>
        <w:rPr>
          <w:rFonts w:hint="eastAsia"/>
        </w:rPr>
        <w:t>涉密载体的接收、发放和传输过程，应通过安全渠道进行，确保信息在传递过程中不被泄露。</w:t>
      </w:r>
    </w:p>
    <w:p w14:paraId="7096F83E">
      <w:pPr>
        <w:pStyle w:val="168"/>
      </w:pPr>
      <w:r>
        <w:rPr>
          <w:rFonts w:hint="eastAsia"/>
        </w:rPr>
        <w:t>应根据密级对电子设备、网络安全、信息系统、发外部邮箱、拷贝等方面进行管控和审批。</w:t>
      </w:r>
    </w:p>
    <w:p w14:paraId="68343A14">
      <w:pPr>
        <w:pStyle w:val="108"/>
        <w:spacing w:before="156" w:after="156"/>
      </w:pPr>
      <w:bookmarkStart w:id="208" w:name="_Toc21568"/>
      <w:bookmarkStart w:id="209" w:name="_Toc22226"/>
      <w:bookmarkStart w:id="210" w:name="_Toc17677"/>
      <w:bookmarkStart w:id="211" w:name="_Toc3947"/>
      <w:bookmarkStart w:id="212" w:name="_Toc13250"/>
      <w:r>
        <w:t>使用</w:t>
      </w:r>
      <w:bookmarkEnd w:id="208"/>
      <w:bookmarkEnd w:id="209"/>
      <w:bookmarkEnd w:id="210"/>
      <w:bookmarkEnd w:id="211"/>
      <w:bookmarkEnd w:id="212"/>
    </w:p>
    <w:p w14:paraId="7DCD3C07">
      <w:pPr>
        <w:pStyle w:val="168"/>
      </w:pPr>
      <w:r>
        <w:rPr>
          <w:rFonts w:hint="eastAsia"/>
        </w:rPr>
        <w:t>涉密载体应清晰标注其密级、保护期限等标识，并实行登记管理、归档存放。</w:t>
      </w:r>
    </w:p>
    <w:p w14:paraId="410E990C">
      <w:pPr>
        <w:pStyle w:val="168"/>
      </w:pPr>
      <w:r>
        <w:rPr>
          <w:rFonts w:hint="eastAsia"/>
        </w:rPr>
        <w:t>涉密载体在授权范围内的使用过程，应在安全的环境中进行，确认不同密级文件使用范围和权限，应确保只有获得授权人员接触。</w:t>
      </w:r>
    </w:p>
    <w:p w14:paraId="6069C46D">
      <w:pPr>
        <w:pStyle w:val="108"/>
        <w:spacing w:before="156" w:after="156"/>
      </w:pPr>
      <w:bookmarkStart w:id="213" w:name="_Toc23200"/>
      <w:bookmarkStart w:id="214" w:name="_Toc7005"/>
      <w:bookmarkStart w:id="215" w:name="_Toc18561"/>
      <w:bookmarkStart w:id="216" w:name="_Toc19988"/>
      <w:bookmarkStart w:id="217" w:name="_Toc3785"/>
      <w:r>
        <w:t>复制</w:t>
      </w:r>
      <w:bookmarkEnd w:id="213"/>
      <w:bookmarkEnd w:id="214"/>
      <w:bookmarkEnd w:id="215"/>
      <w:bookmarkEnd w:id="216"/>
      <w:bookmarkEnd w:id="217"/>
    </w:p>
    <w:p w14:paraId="2196C475">
      <w:pPr>
        <w:pStyle w:val="168"/>
      </w:pPr>
      <w:r>
        <w:rPr>
          <w:rFonts w:hint="eastAsia"/>
        </w:rPr>
        <w:t>涉密载体的复制应由所在部门负责人审核，并经商业秘密保护委员会批准。</w:t>
      </w:r>
    </w:p>
    <w:p w14:paraId="17ED6F9D">
      <w:pPr>
        <w:pStyle w:val="168"/>
      </w:pPr>
      <w:r>
        <w:rPr>
          <w:rFonts w:hint="eastAsia"/>
        </w:rPr>
        <w:t>涉密载体复制件应加盖戳记，并确保载体使用完毕后及时回收。</w:t>
      </w:r>
    </w:p>
    <w:p w14:paraId="3081F729">
      <w:pPr>
        <w:pStyle w:val="168"/>
      </w:pPr>
      <w:r>
        <w:rPr>
          <w:rFonts w:hint="eastAsia"/>
        </w:rPr>
        <w:t>涉密载体复制件与原件具有同等密级，应按照最小接触原则控制分发范围。</w:t>
      </w:r>
    </w:p>
    <w:p w14:paraId="73AC45F3">
      <w:pPr>
        <w:pStyle w:val="108"/>
        <w:spacing w:before="156" w:after="156"/>
      </w:pPr>
      <w:bookmarkStart w:id="218" w:name="_Toc19774"/>
      <w:bookmarkStart w:id="219" w:name="_Toc27002"/>
      <w:r>
        <w:rPr>
          <w:rFonts w:hint="eastAsia"/>
        </w:rPr>
        <w:t>保存</w:t>
      </w:r>
      <w:bookmarkEnd w:id="218"/>
      <w:bookmarkEnd w:id="219"/>
    </w:p>
    <w:p w14:paraId="69DA27D7">
      <w:pPr>
        <w:pStyle w:val="168"/>
      </w:pPr>
      <w:r>
        <w:rPr>
          <w:rFonts w:hint="eastAsia"/>
        </w:rPr>
        <w:t>涉密载体应存放在安全保密的特定场所或位置（物理隔离）。</w:t>
      </w:r>
    </w:p>
    <w:p w14:paraId="2240BCA4">
      <w:pPr>
        <w:pStyle w:val="168"/>
      </w:pPr>
      <w:r>
        <w:rPr>
          <w:rFonts w:hint="eastAsia"/>
        </w:rPr>
        <w:t>应定期对涉密载体进行检查和盘点，防止丢失或被窃取。</w:t>
      </w:r>
    </w:p>
    <w:p w14:paraId="350CC562">
      <w:pPr>
        <w:pStyle w:val="168"/>
      </w:pPr>
      <w:r>
        <w:rPr>
          <w:rFonts w:hint="eastAsia"/>
        </w:rPr>
        <w:t>被撤销、合并的部门，应将涉密载体移交承担原职能的部门，并履行必要的交接手续。</w:t>
      </w:r>
    </w:p>
    <w:p w14:paraId="2252F27B">
      <w:pPr>
        <w:pStyle w:val="108"/>
        <w:spacing w:before="156" w:after="156"/>
      </w:pPr>
      <w:bookmarkStart w:id="220" w:name="_Toc12551"/>
      <w:bookmarkStart w:id="221" w:name="_Toc22886"/>
      <w:bookmarkStart w:id="222" w:name="_Toc1564"/>
      <w:bookmarkStart w:id="223" w:name="_Toc2780"/>
      <w:bookmarkStart w:id="224" w:name="_Toc32072"/>
      <w:r>
        <w:t>销毁</w:t>
      </w:r>
      <w:bookmarkEnd w:id="220"/>
      <w:bookmarkEnd w:id="221"/>
      <w:bookmarkEnd w:id="222"/>
      <w:bookmarkEnd w:id="223"/>
      <w:bookmarkEnd w:id="224"/>
    </w:p>
    <w:p w14:paraId="118727A7">
      <w:pPr>
        <w:pStyle w:val="168"/>
      </w:pPr>
      <w:r>
        <w:t>销毁涉密载体，应由保密员列出销毁清单，经</w:t>
      </w:r>
      <w:r>
        <w:rPr>
          <w:rFonts w:hint="eastAsia"/>
        </w:rPr>
        <w:t>商业秘密保护委员会</w:t>
      </w:r>
      <w:r>
        <w:t>审批</w:t>
      </w:r>
      <w:r>
        <w:rPr>
          <w:rFonts w:hint="eastAsia"/>
        </w:rPr>
        <w:t>后</w:t>
      </w:r>
      <w:r>
        <w:t>实施。</w:t>
      </w:r>
    </w:p>
    <w:p w14:paraId="17C83F95">
      <w:pPr>
        <w:pStyle w:val="168"/>
      </w:pPr>
      <w:r>
        <w:t>销毁过程宜采取</w:t>
      </w:r>
      <w:r>
        <w:rPr>
          <w:rFonts w:hint="eastAsia"/>
        </w:rPr>
        <w:t>包括但不限于以下</w:t>
      </w:r>
      <w:r>
        <w:t>方式进行监督管理：</w:t>
      </w:r>
    </w:p>
    <w:p w14:paraId="334FB2C5">
      <w:pPr>
        <w:pStyle w:val="177"/>
        <w:numPr>
          <w:ilvl w:val="0"/>
          <w:numId w:val="53"/>
        </w:numPr>
      </w:pPr>
      <w:r>
        <w:t>在视频监控范围内销毁；</w:t>
      </w:r>
    </w:p>
    <w:p w14:paraId="700AAB16">
      <w:pPr>
        <w:pStyle w:val="177"/>
        <w:numPr>
          <w:ilvl w:val="0"/>
          <w:numId w:val="53"/>
        </w:numPr>
      </w:pPr>
      <w:r>
        <w:t>在不少于2名专（兼）职保密员见证下销毁；</w:t>
      </w:r>
    </w:p>
    <w:p w14:paraId="5060275C">
      <w:pPr>
        <w:pStyle w:val="177"/>
        <w:numPr>
          <w:ilvl w:val="0"/>
          <w:numId w:val="53"/>
        </w:numPr>
      </w:pPr>
      <w:r>
        <w:t>对销毁过程录像、记录等。</w:t>
      </w:r>
    </w:p>
    <w:p w14:paraId="2F8281CC">
      <w:pPr>
        <w:pStyle w:val="168"/>
      </w:pPr>
      <w:r>
        <w:rPr>
          <w:rFonts w:hint="eastAsia"/>
        </w:rPr>
        <w:t>宜</w:t>
      </w:r>
      <w:r>
        <w:t>采取</w:t>
      </w:r>
      <w:r>
        <w:rPr>
          <w:rFonts w:hint="eastAsia"/>
        </w:rPr>
        <w:t>包括但不限于以下</w:t>
      </w:r>
      <w:r>
        <w:t>方式销毁涉密</w:t>
      </w:r>
      <w:r>
        <w:rPr>
          <w:rFonts w:hint="eastAsia"/>
        </w:rPr>
        <w:t>载体</w:t>
      </w:r>
      <w:r>
        <w:t>：</w:t>
      </w:r>
    </w:p>
    <w:p w14:paraId="7B778A8A">
      <w:pPr>
        <w:pStyle w:val="177"/>
        <w:numPr>
          <w:ilvl w:val="0"/>
          <w:numId w:val="54"/>
        </w:numPr>
      </w:pPr>
      <w:r>
        <w:t>纸质类资料作粉碎性或焚烧处理；</w:t>
      </w:r>
    </w:p>
    <w:p w14:paraId="6857BAE2">
      <w:pPr>
        <w:pStyle w:val="177"/>
        <w:numPr>
          <w:ilvl w:val="0"/>
          <w:numId w:val="54"/>
        </w:numPr>
      </w:pPr>
      <w:r>
        <w:t>电子信息</w:t>
      </w:r>
      <w:r>
        <w:rPr>
          <w:rFonts w:hint="eastAsia"/>
        </w:rPr>
        <w:t>需要</w:t>
      </w:r>
      <w:r>
        <w:t>永久删除</w:t>
      </w:r>
      <w:r>
        <w:rPr>
          <w:rFonts w:hint="eastAsia"/>
        </w:rPr>
        <w:t>时，确保无法还原</w:t>
      </w:r>
      <w:r>
        <w:t>；</w:t>
      </w:r>
    </w:p>
    <w:p w14:paraId="48FA2332">
      <w:pPr>
        <w:pStyle w:val="177"/>
        <w:numPr>
          <w:ilvl w:val="0"/>
          <w:numId w:val="54"/>
        </w:numPr>
      </w:pPr>
      <w:r>
        <w:t>含有核心商业秘密的载体作销毁处理</w:t>
      </w:r>
      <w:r>
        <w:rPr>
          <w:rFonts w:hint="eastAsia"/>
        </w:rPr>
        <w:t>。</w:t>
      </w:r>
    </w:p>
    <w:p w14:paraId="04BCDB6E">
      <w:pPr>
        <w:pStyle w:val="108"/>
        <w:spacing w:before="156" w:after="156"/>
      </w:pPr>
      <w:bookmarkStart w:id="225" w:name="_Toc30885"/>
      <w:bookmarkStart w:id="226" w:name="_Toc21146"/>
      <w:bookmarkStart w:id="227" w:name="_Toc8929"/>
      <w:bookmarkStart w:id="228" w:name="_Toc10812"/>
      <w:bookmarkStart w:id="229" w:name="_Toc5309"/>
      <w:r>
        <w:rPr>
          <w:rFonts w:hint="eastAsia"/>
        </w:rPr>
        <w:t>涉密电子信息</w:t>
      </w:r>
      <w:r>
        <w:t>管理</w:t>
      </w:r>
      <w:bookmarkEnd w:id="225"/>
      <w:bookmarkEnd w:id="226"/>
      <w:bookmarkEnd w:id="227"/>
      <w:bookmarkEnd w:id="228"/>
      <w:bookmarkEnd w:id="229"/>
    </w:p>
    <w:p w14:paraId="10DE3317">
      <w:pPr>
        <w:pStyle w:val="168"/>
      </w:pPr>
      <w:r>
        <w:rPr>
          <w:rFonts w:hint="eastAsia"/>
        </w:rPr>
        <w:t>应对设备、数据库和应用系统及其账户实行权限管理，根据岗位职责或特定工作事项按最小接触原则设定权限，权限到期、人员转岗、项目或事项变更时应重新授权。</w:t>
      </w:r>
    </w:p>
    <w:p w14:paraId="579110A3">
      <w:pPr>
        <w:pStyle w:val="168"/>
      </w:pPr>
      <w:r>
        <w:rPr>
          <w:rFonts w:hint="eastAsia"/>
        </w:rPr>
        <w:t>应对涉密电子文档、邮件、数据等信息的存储、传输、访问及销毁等全生命周期环节实施全面的安全管控，具体可遵循GB/T 22080确定的相关要求。</w:t>
      </w:r>
    </w:p>
    <w:p w14:paraId="277BD8AE">
      <w:pPr>
        <w:pStyle w:val="168"/>
      </w:pPr>
      <w:r>
        <w:rPr>
          <w:rFonts w:hint="eastAsia"/>
        </w:rPr>
        <w:t>信息系统的管理员权限应在不同人员之间进行分配，避免由超级管理员管理整个系统或若干个系统的情况。</w:t>
      </w:r>
    </w:p>
    <w:p w14:paraId="7D778570">
      <w:pPr>
        <w:pStyle w:val="182"/>
      </w:pPr>
      <w:r>
        <w:rPr>
          <w:rFonts w:hint="eastAsia"/>
        </w:rPr>
        <w:t>企业可根据自身风险评估结果选择适宜的技术手段，在合法合规的前提下对涉密电子信息采取全程可追溯管理，以记录涉密电子信息的各级内外部访问者、接收者。</w:t>
      </w:r>
    </w:p>
    <w:p w14:paraId="67423E0D">
      <w:pPr>
        <w:pStyle w:val="108"/>
        <w:spacing w:before="156" w:after="156"/>
      </w:pPr>
      <w:bookmarkStart w:id="230" w:name="_Toc11749"/>
      <w:bookmarkStart w:id="231" w:name="_Toc472"/>
      <w:bookmarkStart w:id="232" w:name="_Toc28999"/>
      <w:bookmarkStart w:id="233" w:name="_Toc8611"/>
      <w:bookmarkStart w:id="234" w:name="_Toc15100"/>
      <w:r>
        <w:t>涉密</w:t>
      </w:r>
      <w:r>
        <w:rPr>
          <w:rFonts w:hint="eastAsia"/>
        </w:rPr>
        <w:t>物理</w:t>
      </w:r>
      <w:r>
        <w:t>载体管理</w:t>
      </w:r>
      <w:bookmarkEnd w:id="230"/>
      <w:bookmarkEnd w:id="231"/>
      <w:bookmarkEnd w:id="232"/>
      <w:bookmarkEnd w:id="233"/>
      <w:bookmarkEnd w:id="234"/>
    </w:p>
    <w:p w14:paraId="2624B5DF">
      <w:pPr>
        <w:pStyle w:val="59"/>
        <w:ind w:firstLine="420"/>
      </w:pPr>
      <w:r>
        <w:rPr>
          <w:rFonts w:hint="eastAsia"/>
        </w:rPr>
        <w:t>对涉密载体的物理形态（如纸质文件、磁盘、光盘等）进行管理，包括制作、流转、保存和销毁等环节。</w:t>
      </w:r>
    </w:p>
    <w:p w14:paraId="3C2BD0E0">
      <w:pPr>
        <w:pStyle w:val="107"/>
        <w:spacing w:before="312" w:after="312"/>
      </w:pPr>
      <w:bookmarkStart w:id="235" w:name="_Toc10953"/>
      <w:bookmarkStart w:id="236" w:name="_Toc27873"/>
      <w:bookmarkStart w:id="237" w:name="_Toc3344"/>
      <w:bookmarkStart w:id="238" w:name="_Toc214009898"/>
      <w:bookmarkStart w:id="239" w:name="_Toc25755"/>
      <w:bookmarkStart w:id="240" w:name="_Toc1747"/>
      <w:bookmarkStart w:id="241" w:name="_Toc25612"/>
      <w:bookmarkStart w:id="242" w:name="_Toc18719"/>
      <w:bookmarkStart w:id="243" w:name="_Toc32389"/>
      <w:bookmarkStart w:id="244" w:name="_Toc20232"/>
      <w:bookmarkStart w:id="245" w:name="_Toc214009865"/>
      <w:bookmarkStart w:id="246" w:name="_Toc219723714"/>
      <w:r>
        <w:t>涉密区域管理</w:t>
      </w:r>
      <w:bookmarkEnd w:id="235"/>
      <w:bookmarkEnd w:id="236"/>
      <w:bookmarkEnd w:id="237"/>
      <w:bookmarkEnd w:id="238"/>
      <w:bookmarkEnd w:id="239"/>
      <w:bookmarkEnd w:id="240"/>
      <w:bookmarkEnd w:id="241"/>
      <w:bookmarkEnd w:id="242"/>
      <w:bookmarkEnd w:id="243"/>
      <w:bookmarkEnd w:id="244"/>
      <w:bookmarkEnd w:id="245"/>
      <w:bookmarkEnd w:id="246"/>
    </w:p>
    <w:p w14:paraId="416AE270">
      <w:pPr>
        <w:pStyle w:val="108"/>
        <w:spacing w:before="156" w:after="156"/>
      </w:pPr>
      <w:bookmarkStart w:id="247" w:name="_Toc4439"/>
      <w:bookmarkStart w:id="248" w:name="_Toc37"/>
      <w:bookmarkStart w:id="249" w:name="_Toc32536"/>
      <w:bookmarkStart w:id="250" w:name="_Toc19210"/>
      <w:bookmarkStart w:id="251" w:name="_Toc25324"/>
      <w:r>
        <w:t>涉密区域识别</w:t>
      </w:r>
      <w:bookmarkEnd w:id="247"/>
      <w:bookmarkEnd w:id="248"/>
      <w:bookmarkEnd w:id="249"/>
      <w:bookmarkEnd w:id="250"/>
      <w:bookmarkEnd w:id="251"/>
    </w:p>
    <w:p w14:paraId="54F87A1F">
      <w:pPr>
        <w:pStyle w:val="59"/>
        <w:ind w:firstLine="420"/>
      </w:pPr>
      <w:r>
        <w:t>企业应明确界定涉密区域，并在区域入口处设置醒目的涉密区域标志和警示标识。涉密区域包括但不限于：</w:t>
      </w:r>
    </w:p>
    <w:p w14:paraId="757BCC99">
      <w:pPr>
        <w:pStyle w:val="177"/>
        <w:numPr>
          <w:ilvl w:val="0"/>
          <w:numId w:val="55"/>
        </w:numPr>
      </w:pPr>
      <w:r>
        <w:t>研发设计部门、实验场所、关键生产区域；</w:t>
      </w:r>
    </w:p>
    <w:p w14:paraId="154D1E2A">
      <w:pPr>
        <w:pStyle w:val="177"/>
        <w:numPr>
          <w:ilvl w:val="0"/>
          <w:numId w:val="55"/>
        </w:numPr>
      </w:pPr>
      <w:r>
        <w:t>控制中心、数据中心机房等；</w:t>
      </w:r>
    </w:p>
    <w:p w14:paraId="051C7CFB">
      <w:pPr>
        <w:pStyle w:val="177"/>
        <w:numPr>
          <w:ilvl w:val="0"/>
          <w:numId w:val="55"/>
        </w:numPr>
      </w:pPr>
      <w:bookmarkStart w:id="378" w:name="_GoBack"/>
      <w:bookmarkEnd w:id="378"/>
      <w:r>
        <w:t>涉密载体存放</w:t>
      </w:r>
      <w:r>
        <w:rPr>
          <w:rFonts w:hint="eastAsia"/>
        </w:rPr>
        <w:t>区</w:t>
      </w:r>
      <w:r>
        <w:t>；</w:t>
      </w:r>
    </w:p>
    <w:p w14:paraId="5E2D7443">
      <w:pPr>
        <w:pStyle w:val="177"/>
        <w:numPr>
          <w:ilvl w:val="0"/>
          <w:numId w:val="55"/>
        </w:numPr>
      </w:pPr>
      <w:r>
        <w:t>重要样品、模具、专用工具、关键零部件等的存放区；</w:t>
      </w:r>
    </w:p>
    <w:p w14:paraId="6FE206F4">
      <w:pPr>
        <w:pStyle w:val="177"/>
        <w:numPr>
          <w:ilvl w:val="0"/>
          <w:numId w:val="55"/>
        </w:numPr>
      </w:pPr>
      <w:r>
        <w:t>关键原材料、重要半成品等物资的</w:t>
      </w:r>
      <w:r>
        <w:rPr>
          <w:rFonts w:hint="eastAsia"/>
        </w:rPr>
        <w:t>存放</w:t>
      </w:r>
      <w:r>
        <w:t>区。</w:t>
      </w:r>
    </w:p>
    <w:p w14:paraId="329879FB">
      <w:pPr>
        <w:pStyle w:val="108"/>
        <w:spacing w:before="156" w:after="156"/>
      </w:pPr>
      <w:bookmarkStart w:id="252" w:name="_Toc17274"/>
      <w:bookmarkStart w:id="253" w:name="_Toc31296"/>
      <w:bookmarkStart w:id="254" w:name="_Toc26088"/>
      <w:bookmarkStart w:id="255" w:name="_Toc12880"/>
      <w:bookmarkStart w:id="256" w:name="_Toc14710"/>
      <w:r>
        <w:t>涉密区域保护</w:t>
      </w:r>
      <w:bookmarkEnd w:id="252"/>
      <w:bookmarkEnd w:id="253"/>
      <w:bookmarkEnd w:id="254"/>
      <w:bookmarkEnd w:id="255"/>
      <w:bookmarkEnd w:id="256"/>
    </w:p>
    <w:p w14:paraId="5818C2A1">
      <w:pPr>
        <w:pStyle w:val="168"/>
      </w:pPr>
      <w:r>
        <w:t>涉密区域应与非涉密区域之间设置物理隔离屏障，如墙壁、门禁等，必要时可增设</w:t>
      </w:r>
      <w:r>
        <w:rPr>
          <w:rFonts w:hint="eastAsia"/>
        </w:rPr>
        <w:t>电子信号隔离设施</w:t>
      </w:r>
      <w:r>
        <w:t>。</w:t>
      </w:r>
    </w:p>
    <w:p w14:paraId="5948E185">
      <w:pPr>
        <w:pStyle w:val="168"/>
      </w:pPr>
      <w:r>
        <w:t>涉密区域的出入口应设置门禁系统，并明确标识，进入</w:t>
      </w:r>
      <w:r>
        <w:rPr>
          <w:rFonts w:hint="eastAsia"/>
        </w:rPr>
        <w:t>应</w:t>
      </w:r>
      <w:r>
        <w:t>通过授权验证，</w:t>
      </w:r>
      <w:r>
        <w:rPr>
          <w:rFonts w:hint="eastAsia"/>
        </w:rPr>
        <w:t>授权验证方式包括但不限于</w:t>
      </w:r>
      <w:r>
        <w:t>使用指纹、面部识别等技术手段。</w:t>
      </w:r>
    </w:p>
    <w:p w14:paraId="3D1669AF">
      <w:pPr>
        <w:pStyle w:val="108"/>
        <w:spacing w:before="156" w:after="156"/>
      </w:pPr>
      <w:bookmarkStart w:id="257" w:name="_Toc13931"/>
      <w:bookmarkStart w:id="258" w:name="_Toc12237"/>
      <w:bookmarkStart w:id="259" w:name="_Toc15295"/>
      <w:bookmarkStart w:id="260" w:name="_Toc24039"/>
      <w:bookmarkStart w:id="261" w:name="_Toc8051"/>
      <w:r>
        <w:t>涉密区域网络管理</w:t>
      </w:r>
      <w:bookmarkEnd w:id="257"/>
      <w:bookmarkEnd w:id="258"/>
      <w:bookmarkEnd w:id="259"/>
      <w:bookmarkEnd w:id="260"/>
      <w:bookmarkEnd w:id="261"/>
    </w:p>
    <w:p w14:paraId="56415743">
      <w:pPr>
        <w:pStyle w:val="168"/>
      </w:pPr>
      <w:r>
        <w:t>涉密区域应配备独立的网络基础设施，如服务器、防火墙等。</w:t>
      </w:r>
    </w:p>
    <w:p w14:paraId="5421E28F">
      <w:pPr>
        <w:pStyle w:val="168"/>
      </w:pPr>
      <w:r>
        <w:rPr>
          <w:rFonts w:hint="eastAsia"/>
        </w:rPr>
        <w:t>涉密区域网络禁止使用有线或无线形式接入外网，应与其他内部网络物理隔离，必要时可部署信号屏蔽设备阻断非授权无线传输</w:t>
      </w:r>
      <w:r>
        <w:t>。</w:t>
      </w:r>
    </w:p>
    <w:p w14:paraId="7DE29329">
      <w:pPr>
        <w:pStyle w:val="168"/>
      </w:pPr>
      <w:r>
        <w:t>涉密区域网络与其他内部网络采取差异化的管理措施。</w:t>
      </w:r>
    </w:p>
    <w:p w14:paraId="7ECE5C8B">
      <w:pPr>
        <w:pStyle w:val="168"/>
      </w:pPr>
      <w:r>
        <w:t>访问涉密区域网络的设备需符合终端准入要求。</w:t>
      </w:r>
    </w:p>
    <w:p w14:paraId="256AD0DE">
      <w:pPr>
        <w:pStyle w:val="168"/>
      </w:pPr>
      <w:r>
        <w:t>通过虚拟专用网络（VPN）等方式远程访问涉密区域网络时，</w:t>
      </w:r>
      <w:r>
        <w:rPr>
          <w:rFonts w:hint="eastAsia"/>
        </w:rPr>
        <w:t>应</w:t>
      </w:r>
      <w:r>
        <w:t>满足终端准入和身份验证条件。</w:t>
      </w:r>
    </w:p>
    <w:p w14:paraId="4242597A">
      <w:pPr>
        <w:pStyle w:val="168"/>
      </w:pPr>
      <w:r>
        <w:rPr>
          <w:rFonts w:hint="eastAsia"/>
        </w:rPr>
        <w:t>涉密区域应禁止使用无线投屏、蓝牙传输等近场通信功能。</w:t>
      </w:r>
    </w:p>
    <w:p w14:paraId="30AEC9A0">
      <w:pPr>
        <w:pStyle w:val="108"/>
        <w:spacing w:before="156" w:after="156"/>
      </w:pPr>
      <w:bookmarkStart w:id="262" w:name="_Toc4826"/>
      <w:bookmarkStart w:id="263" w:name="_Toc28800"/>
      <w:bookmarkStart w:id="264" w:name="_Toc16339"/>
      <w:bookmarkStart w:id="265" w:name="_Toc1428"/>
      <w:bookmarkStart w:id="266" w:name="_Toc9347"/>
      <w:r>
        <w:t>涉密区域出入管理</w:t>
      </w:r>
      <w:bookmarkEnd w:id="262"/>
      <w:bookmarkEnd w:id="263"/>
      <w:bookmarkEnd w:id="264"/>
      <w:bookmarkEnd w:id="265"/>
      <w:bookmarkEnd w:id="266"/>
    </w:p>
    <w:p w14:paraId="29335A17">
      <w:pPr>
        <w:pStyle w:val="168"/>
      </w:pPr>
      <w:r>
        <w:t>涉密区域实行进出登记，并对进入人员进行保密教育。</w:t>
      </w:r>
    </w:p>
    <w:p w14:paraId="052261B0">
      <w:pPr>
        <w:pStyle w:val="168"/>
      </w:pPr>
      <w:r>
        <w:t>限制外来人员进入涉密区域，确需进入的应经过审批，并全程</w:t>
      </w:r>
      <w:r>
        <w:rPr>
          <w:rFonts w:hint="eastAsia"/>
        </w:rPr>
        <w:t>管控</w:t>
      </w:r>
      <w:r>
        <w:t>。</w:t>
      </w:r>
    </w:p>
    <w:p w14:paraId="585FA89F">
      <w:pPr>
        <w:pStyle w:val="168"/>
      </w:pPr>
      <w:r>
        <w:rPr>
          <w:rFonts w:hint="eastAsia"/>
        </w:rPr>
        <w:t>对外来人员电子设备进行管控，未经同意不得摄像、录像。</w:t>
      </w:r>
    </w:p>
    <w:p w14:paraId="23EC8632">
      <w:pPr>
        <w:pStyle w:val="108"/>
        <w:spacing w:before="156" w:after="156"/>
      </w:pPr>
      <w:bookmarkStart w:id="267" w:name="_Toc5021"/>
      <w:bookmarkStart w:id="268" w:name="_Toc31965"/>
      <w:bookmarkStart w:id="269" w:name="_Toc23843"/>
      <w:bookmarkStart w:id="270" w:name="_Toc9659"/>
      <w:bookmarkStart w:id="271" w:name="_Toc10091"/>
      <w:r>
        <w:t>涉密区域内部管理</w:t>
      </w:r>
      <w:bookmarkEnd w:id="267"/>
      <w:bookmarkEnd w:id="268"/>
      <w:bookmarkEnd w:id="269"/>
      <w:bookmarkEnd w:id="270"/>
      <w:bookmarkEnd w:id="271"/>
    </w:p>
    <w:p w14:paraId="50E8C643">
      <w:pPr>
        <w:pStyle w:val="168"/>
      </w:pPr>
      <w:r>
        <w:t>涉密区域内可设置宣传画报、标语等，强化商业秘密保护意识。</w:t>
      </w:r>
    </w:p>
    <w:p w14:paraId="46809CEE">
      <w:pPr>
        <w:pStyle w:val="168"/>
      </w:pPr>
      <w:r>
        <w:t>涉密计算机应配备防止偷窥和拍照的措施。</w:t>
      </w:r>
    </w:p>
    <w:p w14:paraId="18DAE3FB">
      <w:pPr>
        <w:pStyle w:val="168"/>
      </w:pPr>
      <w:r>
        <w:rPr>
          <w:rFonts w:hint="eastAsia"/>
        </w:rPr>
        <w:t>应对涉密区域涉密载体打印、复印、流转管理。</w:t>
      </w:r>
    </w:p>
    <w:p w14:paraId="5A758071">
      <w:pPr>
        <w:pStyle w:val="108"/>
        <w:spacing w:before="156" w:after="156"/>
      </w:pPr>
      <w:bookmarkStart w:id="272" w:name="_Toc31261"/>
      <w:bookmarkStart w:id="273" w:name="_Toc20988"/>
      <w:bookmarkStart w:id="274" w:name="_Toc3556"/>
      <w:bookmarkStart w:id="275" w:name="_Toc20810"/>
      <w:bookmarkStart w:id="276" w:name="_Toc12190"/>
      <w:r>
        <w:t>涉密区域设备管理</w:t>
      </w:r>
      <w:bookmarkEnd w:id="272"/>
      <w:bookmarkEnd w:id="273"/>
      <w:bookmarkEnd w:id="274"/>
      <w:bookmarkEnd w:id="275"/>
      <w:bookmarkEnd w:id="276"/>
    </w:p>
    <w:p w14:paraId="1E9A7B4C">
      <w:pPr>
        <w:pStyle w:val="168"/>
      </w:pPr>
      <w:r>
        <w:t>合理分配不同层级账户的功能和权限。</w:t>
      </w:r>
    </w:p>
    <w:p w14:paraId="56BC86AC">
      <w:pPr>
        <w:pStyle w:val="168"/>
      </w:pPr>
      <w:r>
        <w:rPr>
          <w:rFonts w:hint="eastAsia"/>
        </w:rPr>
        <w:t>对设备传输、拷贝等接口进行限制。</w:t>
      </w:r>
    </w:p>
    <w:p w14:paraId="7B522DA5">
      <w:pPr>
        <w:pStyle w:val="168"/>
      </w:pPr>
      <w:r>
        <w:rPr>
          <w:rFonts w:hint="eastAsia"/>
        </w:rPr>
        <w:t>对设备进行认证和加密处理，并定期更新密码。</w:t>
      </w:r>
    </w:p>
    <w:p w14:paraId="3688D6F7">
      <w:pPr>
        <w:pStyle w:val="107"/>
        <w:spacing w:before="312" w:after="312"/>
      </w:pPr>
      <w:bookmarkStart w:id="277" w:name="_Toc19984"/>
      <w:bookmarkStart w:id="278" w:name="_Toc15058"/>
      <w:bookmarkStart w:id="279" w:name="_Toc9544"/>
      <w:bookmarkStart w:id="280" w:name="_Toc214009899"/>
      <w:bookmarkStart w:id="281" w:name="_Toc4360"/>
      <w:bookmarkStart w:id="282" w:name="_Toc29893"/>
      <w:bookmarkStart w:id="283" w:name="_Toc4169"/>
      <w:bookmarkStart w:id="284" w:name="_Toc5632"/>
      <w:bookmarkStart w:id="285" w:name="_Toc214009866"/>
      <w:bookmarkStart w:id="286" w:name="_Toc24392"/>
      <w:bookmarkStart w:id="287" w:name="_Toc29879"/>
      <w:bookmarkStart w:id="288" w:name="_Toc219723715"/>
      <w:r>
        <w:t>人员管理</w:t>
      </w:r>
      <w:bookmarkEnd w:id="277"/>
      <w:bookmarkEnd w:id="278"/>
      <w:bookmarkEnd w:id="279"/>
      <w:bookmarkEnd w:id="280"/>
      <w:bookmarkEnd w:id="281"/>
      <w:bookmarkEnd w:id="282"/>
      <w:bookmarkEnd w:id="283"/>
      <w:bookmarkEnd w:id="284"/>
      <w:bookmarkEnd w:id="285"/>
      <w:bookmarkEnd w:id="286"/>
      <w:bookmarkEnd w:id="287"/>
      <w:bookmarkEnd w:id="288"/>
    </w:p>
    <w:p w14:paraId="23EDF96C">
      <w:pPr>
        <w:pStyle w:val="108"/>
        <w:spacing w:before="156" w:after="156"/>
      </w:pPr>
      <w:bookmarkStart w:id="289" w:name="_Toc9982"/>
      <w:bookmarkStart w:id="290" w:name="_Toc6962"/>
      <w:bookmarkStart w:id="291" w:name="_Toc16270"/>
      <w:bookmarkStart w:id="292" w:name="_Toc21280"/>
      <w:bookmarkStart w:id="293" w:name="_Toc26735"/>
      <w:r>
        <w:t>入职管理</w:t>
      </w:r>
      <w:bookmarkEnd w:id="289"/>
      <w:bookmarkEnd w:id="290"/>
      <w:bookmarkEnd w:id="291"/>
      <w:bookmarkEnd w:id="292"/>
      <w:bookmarkEnd w:id="293"/>
    </w:p>
    <w:p w14:paraId="265848C0">
      <w:pPr>
        <w:pStyle w:val="68"/>
        <w:spacing w:before="156" w:after="156"/>
      </w:pPr>
      <w:r>
        <w:rPr>
          <w:rFonts w:hint="eastAsia"/>
        </w:rPr>
        <w:t>入职审查</w:t>
      </w:r>
    </w:p>
    <w:p w14:paraId="4C1B4478">
      <w:pPr>
        <w:pStyle w:val="59"/>
        <w:ind w:firstLine="420"/>
      </w:pPr>
      <w:r>
        <w:rPr>
          <w:rFonts w:hint="eastAsia"/>
        </w:rPr>
        <w:t>入职前应审查其工作背景，审查范围包括但不限于：教育背景及经历、过往任职企业及职务、工作内容、是否涉知识产权纠纷、是否曾签订竞业限制协议等。</w:t>
      </w:r>
    </w:p>
    <w:p w14:paraId="2E29CFAD">
      <w:pPr>
        <w:pStyle w:val="59"/>
        <w:ind w:firstLine="420"/>
      </w:pPr>
      <w:r>
        <w:rPr>
          <w:rFonts w:hint="eastAsia"/>
        </w:rPr>
        <w:t>企业应要求入职人员不得使用原企业的商业秘密，可根据内部管理规定及员工的岗位性质、工作内容，与其签署入职保密承诺书（见附录</w:t>
      </w:r>
      <w:r>
        <w:rPr>
          <w:rFonts w:hint="eastAsia" w:ascii="宋体" w:hAnsi="宋体" w:cs="宋体"/>
        </w:rPr>
        <w:t>A</w:t>
      </w:r>
      <w:r>
        <w:rPr>
          <w:rFonts w:hint="eastAsia"/>
        </w:rPr>
        <w:t>）。</w:t>
      </w:r>
    </w:p>
    <w:p w14:paraId="131B9083">
      <w:pPr>
        <w:pStyle w:val="68"/>
        <w:spacing w:before="156" w:after="156"/>
      </w:pPr>
      <w:r>
        <w:t>保密协议</w:t>
      </w:r>
    </w:p>
    <w:p w14:paraId="25EDD189">
      <w:pPr>
        <w:pStyle w:val="59"/>
        <w:ind w:firstLine="420"/>
      </w:pPr>
      <w:r>
        <w:t>应与所有新入职人员</w:t>
      </w:r>
      <w:r>
        <w:rPr>
          <w:rFonts w:hint="eastAsia"/>
        </w:rPr>
        <w:t>签署员工</w:t>
      </w:r>
      <w:r>
        <w:t>保密协议（见附录</w:t>
      </w:r>
      <w:r>
        <w:rPr>
          <w:rFonts w:hint="eastAsia" w:ascii="宋体" w:hAnsi="宋体" w:cs="宋体"/>
        </w:rPr>
        <w:t>B</w:t>
      </w:r>
      <w:r>
        <w:t>），明确约定保密范围、保密期限、双方权利义务、违约责任等内容。</w:t>
      </w:r>
    </w:p>
    <w:p w14:paraId="2E3F28B9">
      <w:pPr>
        <w:pStyle w:val="68"/>
        <w:spacing w:before="156" w:after="156"/>
      </w:pPr>
      <w:r>
        <w:t>竞业限制协议</w:t>
      </w:r>
    </w:p>
    <w:p w14:paraId="1C6ACEBF">
      <w:pPr>
        <w:pStyle w:val="59"/>
        <w:ind w:firstLine="420"/>
      </w:pPr>
      <w:r>
        <w:t>应与新入职的高级管理人员、高级技术人员及其他负有保密义务的人员签订竞业限制协议（见附录</w:t>
      </w:r>
      <w:r>
        <w:rPr>
          <w:rFonts w:hint="eastAsia" w:ascii="宋体" w:hAnsi="宋体" w:cs="宋体"/>
        </w:rPr>
        <w:t>C</w:t>
      </w:r>
      <w:r>
        <w:t>），并约定竞业限制的范围、地域、生效条件、期限、违约责任、经济补偿等内容。</w:t>
      </w:r>
    </w:p>
    <w:p w14:paraId="05644238">
      <w:pPr>
        <w:pStyle w:val="108"/>
        <w:spacing w:before="156" w:after="156"/>
      </w:pPr>
      <w:bookmarkStart w:id="294" w:name="_Toc11945"/>
      <w:bookmarkStart w:id="295" w:name="_Toc23298"/>
      <w:bookmarkStart w:id="296" w:name="_Toc14853"/>
      <w:bookmarkStart w:id="297" w:name="_Toc17369"/>
      <w:bookmarkStart w:id="298" w:name="_Toc3468"/>
      <w:r>
        <w:t>在职管理</w:t>
      </w:r>
      <w:bookmarkEnd w:id="294"/>
      <w:bookmarkEnd w:id="295"/>
      <w:bookmarkEnd w:id="296"/>
      <w:bookmarkEnd w:id="297"/>
      <w:bookmarkEnd w:id="298"/>
    </w:p>
    <w:p w14:paraId="26CCE03A">
      <w:pPr>
        <w:pStyle w:val="168"/>
      </w:pPr>
      <w:r>
        <w:rPr>
          <w:rFonts w:hint="eastAsia"/>
        </w:rPr>
        <w:t>根据岗位及工作内容建立涉密人员清单，当商业秘密、接触范围、岗位等发生变化时动态更新涉密人员清单。</w:t>
      </w:r>
    </w:p>
    <w:p w14:paraId="097BB25A">
      <w:pPr>
        <w:pStyle w:val="168"/>
      </w:pPr>
      <w:r>
        <w:rPr>
          <w:rFonts w:hint="eastAsia"/>
        </w:rPr>
        <w:t>职务范围内对外发表论文、学术交流等材料在公开前进行核查。</w:t>
      </w:r>
    </w:p>
    <w:p w14:paraId="15B4AC34">
      <w:pPr>
        <w:pStyle w:val="168"/>
      </w:pPr>
      <w:r>
        <w:rPr>
          <w:rFonts w:hint="eastAsia"/>
        </w:rPr>
        <w:t>对在职人员相关涉密权限及其行为合规性进行定期核查。</w:t>
      </w:r>
    </w:p>
    <w:p w14:paraId="3BC9093B">
      <w:pPr>
        <w:pStyle w:val="168"/>
      </w:pPr>
      <w:r>
        <w:rPr>
          <w:rFonts w:hint="eastAsia"/>
        </w:rPr>
        <w:t>企业应督促岗位变动人员做好涉密载体交接工作，对其重新划分涉密类别与层级。</w:t>
      </w:r>
    </w:p>
    <w:p w14:paraId="7FD260FE">
      <w:pPr>
        <w:pStyle w:val="108"/>
        <w:spacing w:before="156" w:after="156"/>
      </w:pPr>
      <w:bookmarkStart w:id="299" w:name="_Toc7009"/>
      <w:bookmarkStart w:id="300" w:name="_Toc8933"/>
      <w:bookmarkStart w:id="301" w:name="_Toc22742"/>
      <w:bookmarkStart w:id="302" w:name="_Toc28286"/>
      <w:bookmarkStart w:id="303" w:name="_Toc22610"/>
      <w:r>
        <w:t>离职管理</w:t>
      </w:r>
      <w:bookmarkEnd w:id="299"/>
      <w:bookmarkEnd w:id="300"/>
      <w:bookmarkEnd w:id="301"/>
      <w:bookmarkEnd w:id="302"/>
      <w:bookmarkEnd w:id="303"/>
    </w:p>
    <w:p w14:paraId="41A513C6">
      <w:pPr>
        <w:pStyle w:val="68"/>
        <w:spacing w:before="156" w:after="156"/>
      </w:pPr>
      <w:r>
        <w:rPr>
          <w:rFonts w:hint="eastAsia"/>
        </w:rPr>
        <w:t>脱密</w:t>
      </w:r>
    </w:p>
    <w:p w14:paraId="7CF36C1D">
      <w:pPr>
        <w:pStyle w:val="59"/>
        <w:ind w:firstLine="420"/>
        <w:rPr>
          <w:rFonts w:ascii="宋体" w:hAnsi="宋体" w:cs="宋体"/>
        </w:rPr>
      </w:pPr>
      <w:r>
        <w:rPr>
          <w:rFonts w:hint="eastAsia" w:ascii="宋体" w:hAnsi="宋体" w:cs="宋体"/>
        </w:rPr>
        <w:t>根据预离职员工的涉密等级，提前设定脱密期并进行岗位调整，使其不再接触商业秘密。</w:t>
      </w:r>
    </w:p>
    <w:p w14:paraId="1964743B">
      <w:pPr>
        <w:pStyle w:val="59"/>
        <w:ind w:firstLine="420"/>
      </w:pPr>
      <w:r>
        <w:rPr>
          <w:rFonts w:hint="eastAsia" w:ascii="宋体" w:hAnsi="宋体" w:cs="宋体"/>
        </w:rPr>
        <w:t>返还在职期间取得的涉密载体，解除相关权限。</w:t>
      </w:r>
    </w:p>
    <w:p w14:paraId="7F221A98">
      <w:pPr>
        <w:pStyle w:val="68"/>
        <w:spacing w:before="156" w:after="156"/>
      </w:pPr>
      <w:r>
        <w:rPr>
          <w:rFonts w:hint="eastAsia"/>
        </w:rPr>
        <w:t>离职谈话</w:t>
      </w:r>
    </w:p>
    <w:p w14:paraId="7E0265FD">
      <w:pPr>
        <w:pStyle w:val="59"/>
        <w:ind w:firstLine="420"/>
      </w:pPr>
      <w:r>
        <w:rPr>
          <w:rFonts w:hint="eastAsia"/>
        </w:rPr>
        <w:t>涉密岗位员工离职前应与其签署员工离职保密协议（见附录D）或在离职文件中约定保密条款，并进行离职面谈，形成面谈记录并由双方签字确认。谈话内容包括但不限于</w:t>
      </w:r>
      <w:r>
        <w:t>：</w:t>
      </w:r>
    </w:p>
    <w:p w14:paraId="779C71E1">
      <w:pPr>
        <w:pStyle w:val="177"/>
        <w:numPr>
          <w:ilvl w:val="0"/>
          <w:numId w:val="56"/>
        </w:numPr>
      </w:pPr>
      <w:r>
        <w:t>明确商业秘密范围；</w:t>
      </w:r>
    </w:p>
    <w:p w14:paraId="7D19C0B0">
      <w:pPr>
        <w:pStyle w:val="177"/>
        <w:numPr>
          <w:ilvl w:val="0"/>
          <w:numId w:val="56"/>
        </w:numPr>
      </w:pPr>
      <w:r>
        <w:t>告知其应承担的保密义务</w:t>
      </w:r>
      <w:r>
        <w:rPr>
          <w:rFonts w:hint="eastAsia"/>
        </w:rPr>
        <w:t>及竞业限制条款</w:t>
      </w:r>
      <w:r>
        <w:t>；</w:t>
      </w:r>
    </w:p>
    <w:p w14:paraId="249772CF">
      <w:pPr>
        <w:pStyle w:val="177"/>
        <w:numPr>
          <w:ilvl w:val="0"/>
          <w:numId w:val="56"/>
        </w:numPr>
      </w:pPr>
      <w:r>
        <w:t>提示其不应有以下行为：</w:t>
      </w:r>
    </w:p>
    <w:p w14:paraId="3063BBEE">
      <w:pPr>
        <w:pStyle w:val="112"/>
        <w:numPr>
          <w:ilvl w:val="1"/>
          <w:numId w:val="57"/>
        </w:numPr>
      </w:pPr>
      <w:r>
        <w:t>复制、带离、损毁、篡改、拍摄</w:t>
      </w:r>
      <w:r>
        <w:rPr>
          <w:rFonts w:hint="eastAsia"/>
        </w:rPr>
        <w:t>涉密物理载体</w:t>
      </w:r>
      <w:r>
        <w:t>；</w:t>
      </w:r>
    </w:p>
    <w:p w14:paraId="73ADBD50">
      <w:pPr>
        <w:pStyle w:val="112"/>
      </w:pPr>
      <w:r>
        <w:t>查阅、拷贝、篡改、发送涉密电子信息；</w:t>
      </w:r>
    </w:p>
    <w:p w14:paraId="4B42054B">
      <w:pPr>
        <w:pStyle w:val="112"/>
      </w:pPr>
      <w:r>
        <w:t>删除、更改账户；</w:t>
      </w:r>
    </w:p>
    <w:p w14:paraId="2D2B9C2F">
      <w:pPr>
        <w:pStyle w:val="112"/>
      </w:pPr>
      <w:r>
        <w:t>披露、使用或允许他人使用商业秘密等</w:t>
      </w:r>
      <w:r>
        <w:rPr>
          <w:rFonts w:hint="eastAsia"/>
        </w:rPr>
        <w:t>；</w:t>
      </w:r>
    </w:p>
    <w:p w14:paraId="2BDCD5EE">
      <w:pPr>
        <w:pStyle w:val="177"/>
        <w:numPr>
          <w:ilvl w:val="0"/>
          <w:numId w:val="56"/>
        </w:numPr>
      </w:pPr>
      <w:r>
        <w:rPr>
          <w:rFonts w:hint="eastAsia"/>
        </w:rPr>
        <w:t>告知其泄密应</w:t>
      </w:r>
      <w:r>
        <w:t>承担的法律责任。</w:t>
      </w:r>
    </w:p>
    <w:p w14:paraId="5185EB32">
      <w:pPr>
        <w:pStyle w:val="68"/>
        <w:spacing w:before="156" w:after="156"/>
      </w:pPr>
      <w:r>
        <w:t>离职检查</w:t>
      </w:r>
    </w:p>
    <w:p w14:paraId="39B50CCE">
      <w:pPr>
        <w:pStyle w:val="59"/>
        <w:ind w:firstLine="420"/>
      </w:pPr>
      <w:r>
        <w:t>对离职员工进行离岗前检查，并形成书面报告，检查内容包括但不限于：</w:t>
      </w:r>
    </w:p>
    <w:p w14:paraId="723498EE">
      <w:pPr>
        <w:pStyle w:val="177"/>
        <w:numPr>
          <w:ilvl w:val="0"/>
          <w:numId w:val="58"/>
        </w:numPr>
      </w:pPr>
      <w:r>
        <w:t>工作电脑数据是否完整；</w:t>
      </w:r>
    </w:p>
    <w:p w14:paraId="293D5BE1">
      <w:pPr>
        <w:pStyle w:val="177"/>
        <w:numPr>
          <w:ilvl w:val="0"/>
          <w:numId w:val="58"/>
        </w:numPr>
      </w:pPr>
      <w:r>
        <w:rPr>
          <w:rFonts w:hint="eastAsia"/>
        </w:rPr>
        <w:t>工作账户是否有异常操作，如异常查询、下载、拷贝、修改、删除等；</w:t>
      </w:r>
    </w:p>
    <w:p w14:paraId="40E1D040">
      <w:pPr>
        <w:pStyle w:val="177"/>
        <w:numPr>
          <w:ilvl w:val="0"/>
          <w:numId w:val="58"/>
        </w:numPr>
      </w:pPr>
      <w:r>
        <w:rPr>
          <w:rFonts w:hint="eastAsia"/>
        </w:rPr>
        <w:t>离职前一定期限内的涉密载体的查阅和使用情况等；</w:t>
      </w:r>
    </w:p>
    <w:p w14:paraId="4E57466B">
      <w:pPr>
        <w:pStyle w:val="177"/>
        <w:numPr>
          <w:ilvl w:val="0"/>
          <w:numId w:val="58"/>
        </w:numPr>
      </w:pPr>
      <w:r>
        <w:rPr>
          <w:rFonts w:hint="eastAsia"/>
        </w:rPr>
        <w:t>离职员工未完结的项目核心方案是否进行了专利申请保护。</w:t>
      </w:r>
    </w:p>
    <w:p w14:paraId="00F9946E">
      <w:pPr>
        <w:pStyle w:val="108"/>
        <w:spacing w:before="156" w:after="156"/>
      </w:pPr>
      <w:bookmarkStart w:id="304" w:name="_Toc22412"/>
      <w:bookmarkStart w:id="305" w:name="_Toc9562"/>
      <w:bookmarkStart w:id="306" w:name="_Toc13362"/>
      <w:bookmarkStart w:id="307" w:name="_Toc346"/>
      <w:bookmarkStart w:id="308" w:name="_Toc20311"/>
      <w:r>
        <w:t>外部人员管理</w:t>
      </w:r>
      <w:bookmarkEnd w:id="304"/>
      <w:bookmarkEnd w:id="305"/>
      <w:bookmarkEnd w:id="306"/>
      <w:bookmarkEnd w:id="307"/>
      <w:bookmarkEnd w:id="308"/>
    </w:p>
    <w:p w14:paraId="49DD0FF8">
      <w:pPr>
        <w:pStyle w:val="68"/>
        <w:spacing w:before="156" w:after="156"/>
      </w:pPr>
      <w:r>
        <w:t>来访人员</w:t>
      </w:r>
    </w:p>
    <w:p w14:paraId="0D9CDBE4">
      <w:pPr>
        <w:pStyle w:val="167"/>
      </w:pPr>
      <w:r>
        <w:t>来访人员进入涉密区域应经审批，履行进出登记，佩戴临时证件。</w:t>
      </w:r>
    </w:p>
    <w:p w14:paraId="276F66BD">
      <w:pPr>
        <w:pStyle w:val="167"/>
      </w:pPr>
      <w:r>
        <w:t>来访人员进入涉密区域，受访部门应安排人员陪同，限制其使用具有录音、摄像、拍照、信息存储等功能的设备。</w:t>
      </w:r>
    </w:p>
    <w:p w14:paraId="32DF4840">
      <w:pPr>
        <w:pStyle w:val="68"/>
        <w:spacing w:before="156" w:after="156"/>
      </w:pPr>
      <w:r>
        <w:t>外部合作</w:t>
      </w:r>
    </w:p>
    <w:p w14:paraId="23DA0851">
      <w:pPr>
        <w:pStyle w:val="167"/>
      </w:pPr>
      <w:r>
        <w:rPr>
          <w:rFonts w:hint="eastAsia"/>
        </w:rPr>
        <w:t>应</w:t>
      </w:r>
      <w:r>
        <w:t>与</w:t>
      </w:r>
      <w:r>
        <w:rPr>
          <w:rFonts w:hint="eastAsia"/>
        </w:rPr>
        <w:t>外部合作方（如供应商、合作伙伴）</w:t>
      </w:r>
      <w:r>
        <w:t>签订保密协议，约定保密内容和范围、</w:t>
      </w:r>
      <w:r>
        <w:rPr>
          <w:rFonts w:hint="eastAsia"/>
        </w:rPr>
        <w:t>知识产权归属、</w:t>
      </w:r>
      <w:r>
        <w:t>保密责任和义务及违约责任。</w:t>
      </w:r>
    </w:p>
    <w:p w14:paraId="131EC33F">
      <w:pPr>
        <w:pStyle w:val="167"/>
      </w:pPr>
      <w:r>
        <w:t>对聘任或委托的外聘专家、顾问、翻译、律师等可能接触涉密信息的外部人员，宜做背景调查，并签署保密协议。</w:t>
      </w:r>
    </w:p>
    <w:p w14:paraId="0E99C53A">
      <w:pPr>
        <w:pStyle w:val="108"/>
        <w:spacing w:before="156" w:after="156"/>
      </w:pPr>
      <w:bookmarkStart w:id="309" w:name="_Toc23974"/>
      <w:bookmarkStart w:id="310" w:name="_Toc10089"/>
      <w:bookmarkStart w:id="311" w:name="_Toc4964"/>
      <w:bookmarkStart w:id="312" w:name="_Toc796"/>
      <w:bookmarkStart w:id="313" w:name="_Toc8597"/>
      <w:bookmarkStart w:id="314" w:name="_Toc17717"/>
      <w:bookmarkStart w:id="315" w:name="_Toc21725"/>
      <w:r>
        <w:t>保密教育</w:t>
      </w:r>
      <w:bookmarkEnd w:id="309"/>
      <w:bookmarkEnd w:id="310"/>
      <w:bookmarkEnd w:id="311"/>
      <w:bookmarkEnd w:id="312"/>
      <w:bookmarkEnd w:id="313"/>
      <w:bookmarkEnd w:id="314"/>
      <w:bookmarkEnd w:id="315"/>
    </w:p>
    <w:p w14:paraId="0ED6DAA0">
      <w:pPr>
        <w:pStyle w:val="68"/>
        <w:spacing w:before="156" w:after="156"/>
      </w:pPr>
      <w:bookmarkStart w:id="316" w:name="_Toc7719"/>
      <w:bookmarkStart w:id="317" w:name="_Toc25533"/>
      <w:bookmarkStart w:id="318" w:name="_Toc10031"/>
      <w:r>
        <w:t>培训计划与目标</w:t>
      </w:r>
      <w:bookmarkEnd w:id="316"/>
      <w:bookmarkEnd w:id="317"/>
      <w:bookmarkEnd w:id="318"/>
    </w:p>
    <w:p w14:paraId="2C2FFB6C">
      <w:pPr>
        <w:pStyle w:val="167"/>
      </w:pPr>
      <w:r>
        <w:t>企业应将商业秘密保护培训列入年度培训计划，开展全员保密知识普及。</w:t>
      </w:r>
    </w:p>
    <w:p w14:paraId="2663AB55">
      <w:pPr>
        <w:pStyle w:val="167"/>
      </w:pPr>
      <w:r>
        <w:rPr>
          <w:rFonts w:hint="eastAsia"/>
        </w:rPr>
        <w:t>定期</w:t>
      </w:r>
      <w:r>
        <w:t>组织不同涉密岗位人员分别参加有针对性的保密培训</w:t>
      </w:r>
      <w:r>
        <w:rPr>
          <w:rFonts w:hint="eastAsia"/>
        </w:rPr>
        <w:t>，并考核，保存相关记录。</w:t>
      </w:r>
    </w:p>
    <w:p w14:paraId="529140AB">
      <w:pPr>
        <w:pStyle w:val="167"/>
      </w:pPr>
      <w:r>
        <w:rPr>
          <w:rFonts w:hint="eastAsia"/>
        </w:rPr>
        <w:t>企业应组织全员进行商业秘密保护相关法律法规的学习和普及。</w:t>
      </w:r>
    </w:p>
    <w:p w14:paraId="3A5CFD13">
      <w:pPr>
        <w:pStyle w:val="68"/>
        <w:spacing w:before="156" w:after="156"/>
      </w:pPr>
      <w:bookmarkStart w:id="319" w:name="_Toc10117"/>
      <w:bookmarkStart w:id="320" w:name="_Toc30177"/>
      <w:bookmarkStart w:id="321" w:name="_Toc1380"/>
      <w:r>
        <w:t>培训组织方式及对象</w:t>
      </w:r>
      <w:bookmarkEnd w:id="319"/>
      <w:bookmarkEnd w:id="320"/>
      <w:bookmarkEnd w:id="321"/>
    </w:p>
    <w:p w14:paraId="448CCD02">
      <w:pPr>
        <w:pStyle w:val="167"/>
      </w:pPr>
      <w:r>
        <w:t>企业</w:t>
      </w:r>
      <w:r>
        <w:rPr>
          <w:rFonts w:hint="eastAsia"/>
        </w:rPr>
        <w:t>商业秘密保护委员会</w:t>
      </w:r>
      <w:r>
        <w:t>负责组织对中层领导及各部门保密员开展培训教育，各部门再进行内部培训。</w:t>
      </w:r>
    </w:p>
    <w:p w14:paraId="0E3DEF70">
      <w:pPr>
        <w:pStyle w:val="167"/>
      </w:pPr>
      <w:r>
        <w:rPr>
          <w:rFonts w:hint="eastAsia"/>
        </w:rPr>
        <w:t>应</w:t>
      </w:r>
      <w:r>
        <w:t>对新入职员工开展保密培训</w:t>
      </w:r>
      <w:r>
        <w:rPr>
          <w:rFonts w:hint="eastAsia"/>
        </w:rPr>
        <w:t>，</w:t>
      </w:r>
      <w:r>
        <w:t>对重点岗位、重要涉密人员定期开展专项保密培训。</w:t>
      </w:r>
    </w:p>
    <w:p w14:paraId="69198A6E">
      <w:pPr>
        <w:pStyle w:val="68"/>
        <w:spacing w:before="156" w:after="156"/>
      </w:pPr>
      <w:bookmarkStart w:id="322" w:name="_Toc2941"/>
      <w:bookmarkStart w:id="323" w:name="_Toc28926"/>
      <w:bookmarkStart w:id="324" w:name="_Toc21583"/>
      <w:r>
        <w:t>保密培训内容与形式</w:t>
      </w:r>
      <w:bookmarkEnd w:id="322"/>
      <w:bookmarkEnd w:id="323"/>
      <w:bookmarkEnd w:id="324"/>
    </w:p>
    <w:p w14:paraId="50B86E9E">
      <w:pPr>
        <w:pStyle w:val="167"/>
      </w:pPr>
      <w:r>
        <w:t>企业对员工开展保密培训的内容应包括但不限于以下内容：</w:t>
      </w:r>
    </w:p>
    <w:p w14:paraId="1DC1755B">
      <w:pPr>
        <w:pStyle w:val="177"/>
        <w:numPr>
          <w:ilvl w:val="0"/>
          <w:numId w:val="59"/>
        </w:numPr>
      </w:pPr>
      <w:r>
        <w:t>商业秘密的定义；</w:t>
      </w:r>
    </w:p>
    <w:p w14:paraId="3D03FF6C">
      <w:pPr>
        <w:pStyle w:val="177"/>
        <w:numPr>
          <w:ilvl w:val="0"/>
          <w:numId w:val="59"/>
        </w:numPr>
      </w:pPr>
      <w:r>
        <w:t>商业秘密对企业的重要性；</w:t>
      </w:r>
    </w:p>
    <w:p w14:paraId="7614ADC2">
      <w:pPr>
        <w:pStyle w:val="177"/>
        <w:numPr>
          <w:ilvl w:val="0"/>
          <w:numId w:val="59"/>
        </w:numPr>
      </w:pPr>
      <w:r>
        <w:t>企业的商业秘密管理制度及相关流程；</w:t>
      </w:r>
    </w:p>
    <w:p w14:paraId="2B3C04BB">
      <w:pPr>
        <w:pStyle w:val="177"/>
        <w:numPr>
          <w:ilvl w:val="0"/>
          <w:numId w:val="59"/>
        </w:numPr>
      </w:pPr>
      <w:r>
        <w:t>可能导致商业秘密泄露的行为和潜在风险；</w:t>
      </w:r>
    </w:p>
    <w:p w14:paraId="1635F60D">
      <w:pPr>
        <w:pStyle w:val="177"/>
        <w:numPr>
          <w:ilvl w:val="0"/>
          <w:numId w:val="59"/>
        </w:numPr>
      </w:pPr>
      <w:r>
        <w:t>侵害商业秘密可能承担的法律责任；</w:t>
      </w:r>
    </w:p>
    <w:p w14:paraId="5D49FC6A">
      <w:pPr>
        <w:pStyle w:val="177"/>
        <w:numPr>
          <w:ilvl w:val="0"/>
          <w:numId w:val="59"/>
        </w:numPr>
      </w:pPr>
      <w:r>
        <w:rPr>
          <w:rFonts w:hint="eastAsia"/>
        </w:rPr>
        <w:t>典型泄密案例分析；</w:t>
      </w:r>
    </w:p>
    <w:p w14:paraId="145907AC">
      <w:pPr>
        <w:pStyle w:val="177"/>
        <w:numPr>
          <w:ilvl w:val="0"/>
          <w:numId w:val="59"/>
        </w:numPr>
      </w:pPr>
      <w:r>
        <w:rPr>
          <w:rFonts w:hint="eastAsia"/>
        </w:rPr>
        <w:t>泄密应急处理、保密措施实操演练；</w:t>
      </w:r>
    </w:p>
    <w:p w14:paraId="2B84D20B">
      <w:pPr>
        <w:pStyle w:val="177"/>
        <w:numPr>
          <w:ilvl w:val="0"/>
          <w:numId w:val="59"/>
        </w:numPr>
      </w:pPr>
      <w:r>
        <w:t>其他与保密义务、保密范围、保密行为有关的内容。</w:t>
      </w:r>
    </w:p>
    <w:p w14:paraId="28D75C16">
      <w:pPr>
        <w:pStyle w:val="167"/>
      </w:pPr>
      <w:r>
        <w:t>保密培训可采用线下、线上集中培训，或录制成视频、音频课程等形式。</w:t>
      </w:r>
    </w:p>
    <w:p w14:paraId="3C3060E1">
      <w:pPr>
        <w:pStyle w:val="167"/>
      </w:pPr>
      <w:r>
        <w:rPr>
          <w:rFonts w:hint="eastAsia"/>
        </w:rPr>
        <w:t>企业可通过建立良好的企业文化、提供职业发展支持等方式，减少员工因心理问题导致的泄密风险。</w:t>
      </w:r>
    </w:p>
    <w:p w14:paraId="5D30EE72">
      <w:pPr>
        <w:pStyle w:val="107"/>
        <w:spacing w:before="312" w:after="312"/>
      </w:pPr>
      <w:bookmarkStart w:id="325" w:name="_Toc28225"/>
      <w:bookmarkStart w:id="326" w:name="_Toc15701"/>
      <w:bookmarkStart w:id="327" w:name="_Toc12254"/>
      <w:bookmarkStart w:id="328" w:name="_Toc30229"/>
      <w:bookmarkStart w:id="329" w:name="_Toc10429"/>
      <w:bookmarkStart w:id="330" w:name="_Toc19521"/>
      <w:bookmarkStart w:id="331" w:name="_Toc22014"/>
      <w:bookmarkStart w:id="332" w:name="_Toc214009900"/>
      <w:bookmarkStart w:id="333" w:name="_Toc6128"/>
      <w:bookmarkStart w:id="334" w:name="_Toc214009867"/>
      <w:bookmarkStart w:id="335" w:name="_Toc9795"/>
      <w:bookmarkStart w:id="336" w:name="_Toc219723716"/>
      <w:r>
        <w:rPr>
          <w:spacing w:val="-3"/>
        </w:rPr>
        <w:t>风险防范</w:t>
      </w:r>
      <w:bookmarkEnd w:id="325"/>
      <w:bookmarkEnd w:id="326"/>
      <w:bookmarkEnd w:id="327"/>
      <w:bookmarkEnd w:id="328"/>
      <w:bookmarkEnd w:id="329"/>
      <w:r>
        <w:rPr>
          <w:rFonts w:hint="eastAsia"/>
          <w:spacing w:val="-3"/>
        </w:rPr>
        <w:t>及应急处理</w:t>
      </w:r>
      <w:bookmarkEnd w:id="330"/>
      <w:bookmarkEnd w:id="331"/>
      <w:bookmarkEnd w:id="332"/>
      <w:bookmarkEnd w:id="333"/>
      <w:bookmarkEnd w:id="334"/>
      <w:bookmarkEnd w:id="335"/>
      <w:bookmarkEnd w:id="336"/>
    </w:p>
    <w:p w14:paraId="5B8C1F5F">
      <w:pPr>
        <w:pStyle w:val="108"/>
        <w:spacing w:before="156" w:after="156"/>
      </w:pPr>
      <w:bookmarkStart w:id="337" w:name="_Toc18652"/>
      <w:bookmarkStart w:id="338" w:name="_Toc532"/>
      <w:r>
        <w:rPr>
          <w:rFonts w:hint="eastAsia"/>
        </w:rPr>
        <w:t>风险防范</w:t>
      </w:r>
      <w:bookmarkEnd w:id="337"/>
      <w:bookmarkEnd w:id="338"/>
    </w:p>
    <w:p w14:paraId="7C52F3FF">
      <w:pPr>
        <w:pStyle w:val="168"/>
        <w:rPr>
          <w:lang w:val="ca-ES"/>
        </w:rPr>
      </w:pPr>
      <w:r>
        <w:rPr>
          <w:rFonts w:hint="eastAsia"/>
          <w:lang w:val="ca-ES"/>
        </w:rPr>
        <w:t>企业</w:t>
      </w:r>
      <w:r>
        <w:rPr>
          <w:rFonts w:hint="eastAsia"/>
        </w:rPr>
        <w:t>应</w:t>
      </w:r>
      <w:r>
        <w:rPr>
          <w:rFonts w:hint="eastAsia"/>
          <w:lang w:val="ca-ES"/>
        </w:rPr>
        <w:t>建立风险防范体系，建立包括但不限</w:t>
      </w:r>
      <w:r>
        <w:rPr>
          <w:rFonts w:hint="eastAsia"/>
        </w:rPr>
        <w:t>于</w:t>
      </w:r>
      <w:r>
        <w:rPr>
          <w:rFonts w:hint="eastAsia"/>
          <w:lang w:val="ca-ES"/>
        </w:rPr>
        <w:t>下列内容的风险防范机制：</w:t>
      </w:r>
    </w:p>
    <w:p w14:paraId="0FDDA8A7">
      <w:pPr>
        <w:pStyle w:val="177"/>
        <w:numPr>
          <w:ilvl w:val="0"/>
          <w:numId w:val="60"/>
        </w:numPr>
      </w:pPr>
      <w:r>
        <w:t>风险监测机制；</w:t>
      </w:r>
    </w:p>
    <w:p w14:paraId="7BB3C513">
      <w:pPr>
        <w:pStyle w:val="177"/>
        <w:numPr>
          <w:ilvl w:val="0"/>
          <w:numId w:val="60"/>
        </w:numPr>
      </w:pPr>
      <w:r>
        <w:t>风险评估机制；</w:t>
      </w:r>
    </w:p>
    <w:p w14:paraId="0231E442">
      <w:pPr>
        <w:pStyle w:val="177"/>
        <w:numPr>
          <w:ilvl w:val="0"/>
          <w:numId w:val="60"/>
        </w:numPr>
      </w:pPr>
      <w:r>
        <w:t>风险预警机制；</w:t>
      </w:r>
    </w:p>
    <w:p w14:paraId="3EB148DC">
      <w:pPr>
        <w:pStyle w:val="177"/>
        <w:numPr>
          <w:ilvl w:val="0"/>
          <w:numId w:val="60"/>
        </w:numPr>
      </w:pPr>
      <w:r>
        <w:t>风险应对机制。</w:t>
      </w:r>
    </w:p>
    <w:p w14:paraId="5B1334AD">
      <w:pPr>
        <w:pStyle w:val="168"/>
      </w:pPr>
      <w:r>
        <w:rPr>
          <w:rFonts w:hint="eastAsia"/>
        </w:rPr>
        <w:t>企业宜应用智能化风险监测和预警技术对高频访问涉密信息、异常下载数据等行为自动预警，定期开展核心商业秘密恢复演练。</w:t>
      </w:r>
    </w:p>
    <w:p w14:paraId="51AF14F0">
      <w:pPr>
        <w:pStyle w:val="59"/>
        <w:ind w:firstLine="420"/>
        <w:rPr>
          <w:rFonts w:ascii="宋体" w:hAnsi="宋体" w:cs="宋体"/>
        </w:rPr>
      </w:pPr>
      <w:r>
        <w:rPr>
          <w:rFonts w:hint="eastAsia" w:ascii="宋体" w:hAnsi="宋体" w:cs="宋体"/>
        </w:rPr>
        <w:t>对外提供涉密资料时应对关键数据进行技术脱敏处理。</w:t>
      </w:r>
    </w:p>
    <w:p w14:paraId="7387281F">
      <w:pPr>
        <w:pStyle w:val="168"/>
      </w:pPr>
      <w:r>
        <w:rPr>
          <w:rFonts w:hint="eastAsia"/>
        </w:rPr>
        <w:t>企业应建立商业秘密保护风险监测台账，对影响商业秘密保护的风险来源、风险类型、风险形成原因、风险发生后果、风险发生概率等因素进行系统地记录、统计、分析，为风险评估、风险预警和风险应对提供基础数据和分析参考。</w:t>
      </w:r>
    </w:p>
    <w:p w14:paraId="2B4EC82D">
      <w:pPr>
        <w:pStyle w:val="168"/>
      </w:pPr>
      <w:r>
        <w:rPr>
          <w:rFonts w:hint="eastAsia"/>
          <w:spacing w:val="-1"/>
        </w:rPr>
        <w:t>企业应对商业秘密风险监测发现的风险进行全面分析和系统评估，形成风险评估报告。</w:t>
      </w:r>
    </w:p>
    <w:p w14:paraId="37A7697E">
      <w:pPr>
        <w:pStyle w:val="168"/>
      </w:pPr>
      <w:r>
        <w:rPr>
          <w:rFonts w:hint="eastAsia"/>
        </w:rPr>
        <w:t>企业宜每年对加密系统、监控设备、网络隔离设施进行安全检测与升级。</w:t>
      </w:r>
    </w:p>
    <w:p w14:paraId="347B43CB">
      <w:pPr>
        <w:pStyle w:val="168"/>
      </w:pPr>
      <w:r>
        <w:rPr>
          <w:rFonts w:hint="eastAsia"/>
          <w:spacing w:val="-1"/>
        </w:rPr>
        <w:t>企业应根据实际情况采取如下风险应对措施：企业内部应对措施、外部市场应对措施、法律救济应对措施等。</w:t>
      </w:r>
    </w:p>
    <w:p w14:paraId="721B37D9">
      <w:pPr>
        <w:pStyle w:val="168"/>
      </w:pPr>
      <w:r>
        <w:rPr>
          <w:rFonts w:hint="eastAsia"/>
        </w:rPr>
        <w:t>企业应尤其注重境外业务中的商业秘密保护风险。广东省海外业务企业在外国投资经营时，应遵守目标市场法律法规，并制定差异化的保密措施，以确保合规有效防范信息泄露风险。</w:t>
      </w:r>
    </w:p>
    <w:p w14:paraId="1F078DC2">
      <w:pPr>
        <w:pStyle w:val="168"/>
      </w:pPr>
      <w:r>
        <w:rPr>
          <w:rFonts w:hint="eastAsia"/>
        </w:rPr>
        <w:t>企业应建立申报前评估机制应对境外政府部门的信息申报要求。企业在响应任何信息申报前，必须启动内部评估程序，重点评估内容包括但不限于：</w:t>
      </w:r>
    </w:p>
    <w:p w14:paraId="0F8FD1F5">
      <w:pPr>
        <w:pStyle w:val="177"/>
        <w:numPr>
          <w:ilvl w:val="0"/>
          <w:numId w:val="61"/>
        </w:numPr>
      </w:pPr>
      <w:r>
        <w:rPr>
          <w:rFonts w:hint="eastAsia"/>
        </w:rPr>
        <w:t>申报范围是否超出该国政府的法定要求；</w:t>
      </w:r>
    </w:p>
    <w:p w14:paraId="500328F9">
      <w:pPr>
        <w:pStyle w:val="177"/>
        <w:numPr>
          <w:ilvl w:val="0"/>
          <w:numId w:val="61"/>
        </w:numPr>
      </w:pPr>
      <w:r>
        <w:rPr>
          <w:rFonts w:hint="eastAsia"/>
        </w:rPr>
        <w:t>申报内容是否存在泄露企业核心商业秘密与敏感数据的风险。</w:t>
      </w:r>
    </w:p>
    <w:p w14:paraId="4F593E3E">
      <w:pPr>
        <w:pStyle w:val="108"/>
        <w:spacing w:before="156" w:after="156"/>
        <w:rPr>
          <w:lang w:val="ca-ES"/>
        </w:rPr>
      </w:pPr>
      <w:bookmarkStart w:id="339" w:name="_Toc27892"/>
      <w:bookmarkStart w:id="340" w:name="_Toc440"/>
      <w:r>
        <w:rPr>
          <w:rFonts w:hint="eastAsia"/>
        </w:rPr>
        <w:t>应急处理</w:t>
      </w:r>
      <w:bookmarkEnd w:id="339"/>
      <w:bookmarkEnd w:id="340"/>
    </w:p>
    <w:p w14:paraId="3A940C4C">
      <w:pPr>
        <w:pStyle w:val="168"/>
      </w:pPr>
      <w:r>
        <w:t>企业应制定详细的商业秘密泄露应急预案，明确应急处理流程，包括</w:t>
      </w:r>
      <w:r>
        <w:rPr>
          <w:rFonts w:hint="eastAsia"/>
        </w:rPr>
        <w:t>但不限于</w:t>
      </w:r>
      <w:r>
        <w:t>应急响应级别、应急指挥机构、应急响应程序、应急处置措施、应急资源保障等内容。</w:t>
      </w:r>
    </w:p>
    <w:p w14:paraId="6BDC13F8">
      <w:pPr>
        <w:pStyle w:val="168"/>
      </w:pPr>
      <w:r>
        <w:t>根据实际演练和经验反馈，应定期修订和完善应急预案。</w:t>
      </w:r>
    </w:p>
    <w:p w14:paraId="23F6CBC5">
      <w:pPr>
        <w:pStyle w:val="168"/>
      </w:pPr>
      <w:r>
        <w:t>应定期组织应急预案演练，提高员工的应急反应能力。应通过模拟不同类型的泄露情景，检验应急预案的有效性。演练结束后，应总结演练情况，改进不足之处。</w:t>
      </w:r>
    </w:p>
    <w:p w14:paraId="05DF78CE">
      <w:pPr>
        <w:pStyle w:val="168"/>
        <w:rPr>
          <w:lang w:val="ca-ES"/>
        </w:rPr>
      </w:pPr>
      <w:r>
        <w:t>发现商业秘密可能被泄露或侵权，应立即启动应急预案，及时采取措施。</w:t>
      </w:r>
    </w:p>
    <w:p w14:paraId="34E26B4B">
      <w:pPr>
        <w:pStyle w:val="107"/>
        <w:spacing w:before="312" w:after="312"/>
        <w:rPr>
          <w:lang w:val="ca-ES"/>
        </w:rPr>
      </w:pPr>
      <w:bookmarkStart w:id="341" w:name="_Toc214009868"/>
      <w:bookmarkStart w:id="342" w:name="_Toc6220"/>
      <w:bookmarkStart w:id="343" w:name="_Toc6512"/>
      <w:bookmarkStart w:id="344" w:name="_Toc214009901"/>
      <w:bookmarkStart w:id="345" w:name="_Toc28614"/>
      <w:bookmarkStart w:id="346" w:name="_Toc10488"/>
      <w:bookmarkStart w:id="347" w:name="_Toc219723717"/>
      <w:r>
        <w:rPr>
          <w:rFonts w:hint="eastAsia"/>
        </w:rPr>
        <w:t>维权</w:t>
      </w:r>
      <w:bookmarkEnd w:id="341"/>
      <w:bookmarkEnd w:id="342"/>
      <w:bookmarkEnd w:id="343"/>
      <w:bookmarkEnd w:id="344"/>
      <w:bookmarkEnd w:id="345"/>
      <w:bookmarkEnd w:id="346"/>
      <w:r>
        <w:rPr>
          <w:rFonts w:hint="eastAsia"/>
        </w:rPr>
        <w:t>途径</w:t>
      </w:r>
      <w:bookmarkEnd w:id="347"/>
    </w:p>
    <w:p w14:paraId="7103143F">
      <w:pPr>
        <w:pStyle w:val="108"/>
        <w:spacing w:before="156" w:after="156"/>
      </w:pPr>
      <w:bookmarkStart w:id="348" w:name="bookmark27"/>
      <w:bookmarkEnd w:id="348"/>
      <w:bookmarkStart w:id="349" w:name="bookmark29"/>
      <w:bookmarkEnd w:id="349"/>
      <w:r>
        <w:t>协调解决</w:t>
      </w:r>
    </w:p>
    <w:p w14:paraId="746922A6">
      <w:pPr>
        <w:pStyle w:val="59"/>
        <w:ind w:firstLine="420"/>
      </w:pPr>
      <w:r>
        <w:t>在侵权行为初期，</w:t>
      </w:r>
      <w:r>
        <w:rPr>
          <w:rFonts w:hint="eastAsia"/>
        </w:rPr>
        <w:t>有意向的双方</w:t>
      </w:r>
      <w:r>
        <w:t>可通过协商解决争议，达成和解协议</w:t>
      </w:r>
      <w:r>
        <w:rPr>
          <w:rFonts w:hint="eastAsia"/>
        </w:rPr>
        <w:t>。</w:t>
      </w:r>
    </w:p>
    <w:p w14:paraId="6379FA98">
      <w:pPr>
        <w:pStyle w:val="182"/>
      </w:pPr>
      <w:r>
        <w:rPr>
          <w:rFonts w:hint="eastAsia"/>
        </w:rPr>
        <w:t>协调解决保密性强，但效力有限，适用于存在一定互信基础的情形。</w:t>
      </w:r>
    </w:p>
    <w:p w14:paraId="0F406E54">
      <w:pPr>
        <w:pStyle w:val="108"/>
        <w:spacing w:before="156" w:after="156"/>
      </w:pPr>
      <w:r>
        <w:t>行政途径</w:t>
      </w:r>
    </w:p>
    <w:p w14:paraId="78E5B365">
      <w:pPr>
        <w:pStyle w:val="59"/>
        <w:ind w:firstLine="420"/>
      </w:pPr>
      <w:r>
        <w:rPr>
          <w:rFonts w:hint="eastAsia"/>
        </w:rPr>
        <w:t>可向违法行为发生地县级以上市场监督管理部门投诉，请求查处商业秘密侵权行为。配合行政部门进行调查处理，确保侵权行为得到制止。</w:t>
      </w:r>
    </w:p>
    <w:p w14:paraId="1F2CE193">
      <w:pPr>
        <w:pStyle w:val="182"/>
      </w:pPr>
      <w:r>
        <w:rPr>
          <w:rFonts w:hint="eastAsia"/>
        </w:rPr>
        <w:t>行政途径程序较快，可快速制止侵权行为，但仅能依法给予侵权者行政处罚或依双方意愿组织调解，无权强制执行赔偿，适用于初步发现泄密，需迅速阻止信息扩散，或经法院终审认定法律责任，依法需给予行政处罚的情形。</w:t>
      </w:r>
    </w:p>
    <w:p w14:paraId="355E3DDD">
      <w:pPr>
        <w:pStyle w:val="108"/>
        <w:spacing w:before="156" w:after="156"/>
      </w:pPr>
      <w:r>
        <w:t>劳动仲裁</w:t>
      </w:r>
    </w:p>
    <w:p w14:paraId="711B714C">
      <w:pPr>
        <w:pStyle w:val="59"/>
        <w:ind w:firstLine="420"/>
      </w:pPr>
      <w:r>
        <w:t>违反竞业限制协议等属于劳动仲裁受案范围的，</w:t>
      </w:r>
      <w:r>
        <w:rPr>
          <w:rFonts w:hint="eastAsia"/>
        </w:rPr>
        <w:t>应先向劳动合同履行地或者用人单位所在地的劳动争议仲裁委员会申请劳动仲裁</w:t>
      </w:r>
      <w:r>
        <w:t>。准备好相关证据和材料，确保仲裁顺利进行。</w:t>
      </w:r>
    </w:p>
    <w:p w14:paraId="16C548FE">
      <w:pPr>
        <w:pStyle w:val="182"/>
      </w:pPr>
      <w:r>
        <w:t>劳动仲裁</w:t>
      </w:r>
      <w:r>
        <w:rPr>
          <w:rFonts w:hint="eastAsia"/>
        </w:rPr>
        <w:t>程序快捷，但执行力受限，适用于与员工发生争议且合同中约定了劳动仲裁的情形。</w:t>
      </w:r>
    </w:p>
    <w:p w14:paraId="19766ECB">
      <w:pPr>
        <w:pStyle w:val="108"/>
        <w:spacing w:before="156" w:after="156"/>
      </w:pPr>
      <w:r>
        <w:t>商事仲裁</w:t>
      </w:r>
    </w:p>
    <w:p w14:paraId="6FA88DE9">
      <w:pPr>
        <w:spacing w:before="219" w:line="289" w:lineRule="auto"/>
        <w:ind w:left="3" w:firstLine="419"/>
        <w:rPr>
          <w:rFonts w:ascii="Times New Roman" w:hAnsi="Times New Roman"/>
          <w:kern w:val="0"/>
          <w:szCs w:val="20"/>
        </w:rPr>
      </w:pPr>
      <w:r>
        <w:rPr>
          <w:rFonts w:ascii="Times New Roman" w:hAnsi="Times New Roman"/>
          <w:kern w:val="0"/>
          <w:szCs w:val="20"/>
        </w:rPr>
        <w:t>第三方企业违反协议约定的保密义务且约定商事仲裁管辖条款的，应向约定的仲裁委员会申请仲裁。</w:t>
      </w:r>
    </w:p>
    <w:p w14:paraId="1102C1F0">
      <w:pPr>
        <w:pStyle w:val="182"/>
      </w:pPr>
      <w:r>
        <w:rPr>
          <w:rFonts w:ascii="Times New Roman"/>
          <w:szCs w:val="20"/>
        </w:rPr>
        <w:t>商事仲裁</w:t>
      </w:r>
      <w:r>
        <w:rPr>
          <w:rFonts w:hint="eastAsia"/>
        </w:rPr>
        <w:t>程序灵活，但执行力受限，适用于与合作方发生争议且合同中约定了商事仲裁的情形。</w:t>
      </w:r>
    </w:p>
    <w:p w14:paraId="0FBA505F">
      <w:pPr>
        <w:pStyle w:val="108"/>
        <w:spacing w:before="156" w:after="156"/>
      </w:pPr>
      <w:r>
        <w:t>民事诉讼</w:t>
      </w:r>
    </w:p>
    <w:p w14:paraId="3F5BD275">
      <w:pPr>
        <w:pStyle w:val="59"/>
        <w:ind w:firstLine="420"/>
      </w:pPr>
      <w:r>
        <w:rPr>
          <w:rFonts w:hint="eastAsia"/>
        </w:rPr>
        <w:t>可</w:t>
      </w:r>
      <w:r>
        <w:t>向侵权行为发生地或侵权人所在地等有管辖权的人民法院提起民事诉讼，请求赔偿损失。向有管辖权的法院申请诉前禁令，阻止侵权行为继续发生。</w:t>
      </w:r>
    </w:p>
    <w:p w14:paraId="759EAFA9">
      <w:pPr>
        <w:pStyle w:val="182"/>
      </w:pPr>
      <w:r>
        <w:t>民事诉讼</w:t>
      </w:r>
      <w:r>
        <w:rPr>
          <w:rFonts w:hint="eastAsia"/>
        </w:rPr>
        <w:t>可主张停止侵权、赔偿损失（含惩罚性赔偿），但举证责任较重，周期长，适用于已掌握充分证据，追求经济补偿和法律责任认定的情形。</w:t>
      </w:r>
    </w:p>
    <w:p w14:paraId="6EB61523">
      <w:pPr>
        <w:pStyle w:val="108"/>
        <w:spacing w:before="156" w:after="156"/>
      </w:pPr>
      <w:r>
        <w:t>刑事控告</w:t>
      </w:r>
    </w:p>
    <w:p w14:paraId="1E19835B">
      <w:pPr>
        <w:pStyle w:val="59"/>
        <w:ind w:firstLine="420"/>
      </w:pPr>
      <w:r>
        <w:t>符合刑事案件立案条件的，</w:t>
      </w:r>
      <w:r>
        <w:rPr>
          <w:rFonts w:hint="eastAsia"/>
        </w:rPr>
        <w:t>可</w:t>
      </w:r>
      <w:r>
        <w:t>向犯罪地的公安机关报案，要求追究侵权人的刑事责任。配合公安机关进行调查取证，确保案件顺利进行。</w:t>
      </w:r>
    </w:p>
    <w:p w14:paraId="49461AA3">
      <w:pPr>
        <w:pStyle w:val="182"/>
      </w:pPr>
      <w:r>
        <w:rPr>
          <w:rFonts w:hint="eastAsia"/>
        </w:rPr>
        <w:t>刑事控告威慑力强，可追究侵权人刑事责任，公安机关侦查能力强，利于固定关键证据，但入罪门槛高（如损失达30万元以上），无法直接获得民事赔偿。适用于情节严重、损失巨大，意在严惩并震慑潜在侵权者，或经法院终审认定法律责任，依法需追究刑事责任的情形。</w:t>
      </w:r>
    </w:p>
    <w:p w14:paraId="735A1E06">
      <w:pPr>
        <w:pStyle w:val="59"/>
        <w:ind w:firstLine="420"/>
      </w:pPr>
    </w:p>
    <w:p w14:paraId="5A0CB92C">
      <w:pPr>
        <w:pStyle w:val="59"/>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start="1"/>
          <w:cols w:space="425" w:num="1"/>
          <w:formProt w:val="0"/>
          <w:docGrid w:type="lines" w:linePitch="312" w:charSpace="0"/>
        </w:sectPr>
      </w:pPr>
    </w:p>
    <w:bookmarkEnd w:id="33"/>
    <w:p w14:paraId="0F34B8F7">
      <w:pPr>
        <w:pStyle w:val="201"/>
      </w:pPr>
      <w:bookmarkStart w:id="350" w:name="BookMark5"/>
    </w:p>
    <w:p w14:paraId="18966B38">
      <w:pPr>
        <w:pStyle w:val="202"/>
      </w:pPr>
    </w:p>
    <w:p w14:paraId="5BE420DE">
      <w:pPr>
        <w:pStyle w:val="79"/>
        <w:spacing w:after="156"/>
        <w:rPr>
          <w:rFonts w:ascii="宋体" w:hAnsi="宋体" w:eastAsia="宋体" w:cs="宋体"/>
          <w:color w:val="1B1C1D"/>
          <w:sz w:val="18"/>
          <w:szCs w:val="18"/>
        </w:rPr>
      </w:pPr>
      <w:bookmarkStart w:id="351" w:name="_Toc7052"/>
      <w:bookmarkStart w:id="352" w:name="_Toc26671"/>
      <w:r>
        <w:br w:type="textWrapping"/>
      </w:r>
      <w:bookmarkStart w:id="353" w:name="_Toc219723718"/>
      <w:bookmarkStart w:id="354" w:name="_Toc214009902"/>
      <w:bookmarkStart w:id="355" w:name="_Toc214009869"/>
      <w:r>
        <w:rPr>
          <w:rFonts w:hint="eastAsia"/>
        </w:rPr>
        <w:t>（资料性）</w:t>
      </w:r>
      <w:r>
        <w:rPr>
          <w:rFonts w:hint="eastAsia"/>
        </w:rPr>
        <w:br w:type="textWrapping"/>
      </w:r>
      <w:r>
        <w:rPr>
          <w:rFonts w:hint="eastAsia"/>
        </w:rPr>
        <w:t>员工入职保密承诺书</w:t>
      </w:r>
      <w:bookmarkEnd w:id="351"/>
      <w:bookmarkEnd w:id="352"/>
      <w:bookmarkEnd w:id="353"/>
      <w:bookmarkEnd w:id="354"/>
      <w:bookmarkEnd w:id="355"/>
    </w:p>
    <w:p w14:paraId="55705928">
      <w:pPr>
        <w:spacing w:line="420" w:lineRule="exact"/>
        <w:ind w:firstLine="420" w:firstLineChars="200"/>
        <w:rPr>
          <w:rFonts w:ascii="宋体" w:hAnsi="宋体" w:cs="宋体"/>
          <w:color w:val="1B1C1D"/>
        </w:rPr>
      </w:pPr>
      <w:r>
        <w:rPr>
          <w:rFonts w:hint="eastAsia" w:ascii="宋体" w:hAnsi="宋体" w:cs="宋体"/>
          <w:color w:val="1B1C1D"/>
        </w:rPr>
        <w:t>致：</w:t>
      </w:r>
      <w:r>
        <w:rPr>
          <w:rFonts w:hint="eastAsia" w:ascii="宋体" w:hAnsi="宋体" w:cs="宋体"/>
          <w:color w:val="1B1C1D"/>
          <w:u w:val="single"/>
        </w:rPr>
        <w:t xml:space="preserve">                （公司名称）</w:t>
      </w:r>
      <w:r>
        <w:rPr>
          <w:rFonts w:hint="eastAsia" w:ascii="宋体" w:hAnsi="宋体" w:cs="宋体"/>
          <w:color w:val="1B1C1D"/>
        </w:rPr>
        <w:t>（以下简称“公司”）</w:t>
      </w:r>
    </w:p>
    <w:p w14:paraId="014C2C62">
      <w:pPr>
        <w:spacing w:line="420" w:lineRule="exact"/>
        <w:ind w:firstLine="420" w:firstLineChars="200"/>
        <w:rPr>
          <w:rFonts w:ascii="宋体" w:hAnsi="宋体" w:cs="宋体"/>
          <w:color w:val="1B1C1D"/>
        </w:rPr>
      </w:pPr>
      <w:r>
        <w:rPr>
          <w:rFonts w:hint="eastAsia" w:ascii="宋体" w:hAnsi="宋体" w:cs="宋体"/>
          <w:color w:val="1B1C1D"/>
        </w:rPr>
        <w:t>本人</w:t>
      </w:r>
      <w:r>
        <w:rPr>
          <w:rFonts w:hint="eastAsia" w:ascii="宋体" w:hAnsi="宋体" w:cs="宋体"/>
          <w:color w:val="1B1C1D"/>
          <w:u w:val="single"/>
        </w:rPr>
        <w:t xml:space="preserve">      （员工姓名）</w:t>
      </w:r>
      <w:r>
        <w:rPr>
          <w:rFonts w:hint="eastAsia" w:ascii="宋体" w:hAnsi="宋体" w:cs="宋体"/>
          <w:color w:val="1B1C1D"/>
        </w:rPr>
        <w:t>（身份证号：</w:t>
      </w:r>
      <w:r>
        <w:rPr>
          <w:rFonts w:hint="eastAsia" w:ascii="宋体" w:hAnsi="宋体" w:cs="宋体"/>
          <w:color w:val="1B1C1D"/>
          <w:u w:val="single"/>
        </w:rPr>
        <w:t xml:space="preserve">                </w:t>
      </w:r>
      <w:r>
        <w:rPr>
          <w:rFonts w:hint="eastAsia" w:ascii="宋体" w:hAnsi="宋体" w:cs="宋体"/>
          <w:color w:val="1B1C1D"/>
        </w:rPr>
        <w:t>），申请入职贵公司。本人已在入职前与公司就尊重和保护他人知识产权与商业秘密的相关事宜进行了充分沟通，完全知晓并认同公司对此的明确态度和要求。</w:t>
      </w:r>
    </w:p>
    <w:p w14:paraId="020534CC">
      <w:pPr>
        <w:spacing w:line="420" w:lineRule="exact"/>
        <w:ind w:firstLine="420" w:firstLineChars="200"/>
        <w:rPr>
          <w:rFonts w:ascii="宋体" w:hAnsi="宋体" w:cs="宋体"/>
          <w:color w:val="1B1C1D"/>
        </w:rPr>
      </w:pPr>
      <w:r>
        <w:rPr>
          <w:rFonts w:hint="eastAsia" w:ascii="宋体" w:hAnsi="宋体" w:cs="宋体"/>
          <w:color w:val="1B1C1D"/>
        </w:rPr>
        <w:t>为有效防范法律风险，本人在此郑重承诺如下：</w:t>
      </w:r>
    </w:p>
    <w:p w14:paraId="79998B80">
      <w:pPr>
        <w:spacing w:line="420" w:lineRule="exact"/>
        <w:ind w:firstLine="422" w:firstLineChars="200"/>
        <w:rPr>
          <w:rFonts w:ascii="宋体" w:hAnsi="宋体" w:cs="宋体"/>
          <w:b/>
          <w:color w:val="1B1C1D"/>
        </w:rPr>
      </w:pPr>
      <w:r>
        <w:rPr>
          <w:rFonts w:hint="eastAsia" w:ascii="宋体" w:hAnsi="宋体" w:cs="宋体"/>
          <w:b/>
          <w:color w:val="1B1C1D"/>
        </w:rPr>
        <w:t>第一条 关于前雇主及第三方的义务声明与承诺</w:t>
      </w:r>
    </w:p>
    <w:p w14:paraId="0776624F">
      <w:pPr>
        <w:spacing w:line="420" w:lineRule="exact"/>
        <w:ind w:firstLine="420" w:firstLineChars="200"/>
        <w:rPr>
          <w:rFonts w:ascii="宋体" w:hAnsi="宋体" w:cs="宋体"/>
          <w:color w:val="1B1C1D"/>
        </w:rPr>
      </w:pPr>
      <w:r>
        <w:rPr>
          <w:rFonts w:hint="eastAsia" w:ascii="宋体" w:hAnsi="宋体" w:cs="宋体"/>
          <w:color w:val="1B1C1D"/>
        </w:rPr>
        <w:t>本人就与公司联系、交往及入职前涉及本人与任何第三方（包括但不限于前雇主、合作单位等）的保密及竞业限制义务，作出如下声明（请在以下选项中</w:t>
      </w:r>
      <w:r>
        <w:rPr>
          <w:rFonts w:hint="eastAsia" w:ascii="宋体" w:hAnsi="宋体" w:cs="宋体"/>
          <w:b/>
          <w:color w:val="1B1C1D"/>
        </w:rPr>
        <w:t>勾选一项</w:t>
      </w:r>
      <w:r>
        <w:rPr>
          <w:rFonts w:hint="eastAsia" w:ascii="宋体" w:hAnsi="宋体" w:cs="宋体"/>
          <w:color w:val="1B1C1D"/>
        </w:rPr>
        <w:t>）：</w:t>
      </w:r>
    </w:p>
    <w:p w14:paraId="62933F26">
      <w:pPr>
        <w:pStyle w:val="59"/>
        <w:spacing w:line="420" w:lineRule="exact"/>
        <w:ind w:firstLine="420"/>
        <w:rPr>
          <w:rFonts w:ascii="宋体" w:hAnsi="宋体" w:cs="宋体"/>
          <w:szCs w:val="21"/>
        </w:rPr>
      </w:pPr>
      <w:r>
        <w:rPr>
          <w:rFonts w:hint="eastAsia" w:ascii="宋体" w:hAnsi="宋体" w:cs="宋体"/>
          <w:szCs w:val="21"/>
        </w:rPr>
        <w:t>□ 选项一：本人未对任何前雇主或第三方负有任何保密或竞业限制义务。</w:t>
      </w:r>
    </w:p>
    <w:p w14:paraId="3C459C33">
      <w:pPr>
        <w:pStyle w:val="59"/>
        <w:spacing w:line="420" w:lineRule="exact"/>
        <w:ind w:firstLine="420"/>
        <w:rPr>
          <w:rFonts w:ascii="宋体" w:hAnsi="宋体" w:cs="宋体"/>
          <w:szCs w:val="21"/>
        </w:rPr>
      </w:pPr>
      <w:r>
        <w:rPr>
          <w:rFonts w:hint="eastAsia" w:ascii="宋体" w:hAnsi="宋体" w:cs="宋体"/>
          <w:szCs w:val="21"/>
        </w:rPr>
        <w:t>□ 选项二：本人对前雇主或第三方负有保密及/或竞业限制义务，并承诺如下：</w:t>
      </w:r>
    </w:p>
    <w:p w14:paraId="5DB14AA3">
      <w:pPr>
        <w:numPr>
          <w:ilvl w:val="1"/>
          <w:numId w:val="0"/>
        </w:numPr>
        <w:spacing w:line="420" w:lineRule="exact"/>
        <w:ind w:firstLine="420" w:firstLineChars="200"/>
        <w:rPr>
          <w:rFonts w:ascii="宋体" w:hAnsi="宋体" w:cs="宋体"/>
        </w:rPr>
      </w:pPr>
      <w:r>
        <w:rPr>
          <w:rFonts w:hint="eastAsia" w:ascii="宋体" w:hAnsi="宋体" w:cs="宋体"/>
          <w:color w:val="000000"/>
        </w:rPr>
        <w:t>1.</w:t>
      </w:r>
      <w:r>
        <w:rPr>
          <w:rFonts w:hint="eastAsia" w:ascii="宋体" w:hAnsi="宋体" w:cs="宋体"/>
          <w:color w:val="1B1C1D"/>
        </w:rPr>
        <w:t>本人确认，在加入公司前，已与所有前雇主办妥离职手续，并已按照前雇主的要求，返还了所有属于前雇主的文件、资料、数据、设备及其他任何形式的财产与信息载体。</w:t>
      </w:r>
    </w:p>
    <w:p w14:paraId="1EB0CC7D">
      <w:pPr>
        <w:numPr>
          <w:ilvl w:val="1"/>
          <w:numId w:val="0"/>
        </w:numPr>
        <w:spacing w:line="420" w:lineRule="exact"/>
        <w:ind w:firstLine="420" w:firstLineChars="200"/>
        <w:rPr>
          <w:rFonts w:ascii="宋体" w:hAnsi="宋体" w:cs="宋体"/>
        </w:rPr>
      </w:pPr>
      <w:r>
        <w:rPr>
          <w:rFonts w:hint="eastAsia" w:ascii="宋体" w:hAnsi="宋体" w:cs="宋体"/>
          <w:color w:val="000000"/>
        </w:rPr>
        <w:t>2.</w:t>
      </w:r>
      <w:r>
        <w:rPr>
          <w:rFonts w:hint="eastAsia" w:ascii="宋体" w:hAnsi="宋体" w:cs="宋体"/>
          <w:color w:val="1B1C1D"/>
        </w:rPr>
        <w:t>本人承诺，未携带任何属于前雇主的、且本人无权持有的商业秘密或保密信息加入公司。</w:t>
      </w:r>
    </w:p>
    <w:p w14:paraId="0462F8CA">
      <w:pPr>
        <w:numPr>
          <w:ilvl w:val="1"/>
          <w:numId w:val="0"/>
        </w:numPr>
        <w:spacing w:line="420" w:lineRule="exact"/>
        <w:ind w:firstLine="420" w:firstLineChars="200"/>
        <w:rPr>
          <w:rFonts w:ascii="宋体" w:hAnsi="宋体" w:cs="宋体"/>
        </w:rPr>
      </w:pPr>
      <w:r>
        <w:rPr>
          <w:rFonts w:hint="eastAsia" w:ascii="宋体" w:hAnsi="宋体" w:cs="宋体"/>
          <w:color w:val="000000"/>
        </w:rPr>
        <w:t>3.</w:t>
      </w:r>
      <w:r>
        <w:rPr>
          <w:rFonts w:hint="eastAsia" w:ascii="宋体" w:hAnsi="宋体" w:cs="宋体"/>
          <w:color w:val="1B1C1D"/>
        </w:rPr>
        <w:t>本人承诺，在为公司履行工作职责期间，将严格遵守对前雇主的保密义务，不以任何方式使用或向公司及公司其他员工披露任何属于前雇主的商业秘密或保密信息，亦不会引诱公司侵犯任何第三方的知识产权或商业秘密。</w:t>
      </w:r>
    </w:p>
    <w:p w14:paraId="0FAB90A6">
      <w:pPr>
        <w:spacing w:line="420" w:lineRule="exact"/>
        <w:ind w:firstLine="422" w:firstLineChars="200"/>
        <w:rPr>
          <w:rFonts w:ascii="宋体" w:hAnsi="宋体" w:cs="宋体"/>
          <w:b/>
          <w:color w:val="1B1C1D"/>
        </w:rPr>
      </w:pPr>
      <w:r>
        <w:rPr>
          <w:rFonts w:hint="eastAsia" w:ascii="宋体" w:hAnsi="宋体" w:cs="宋体"/>
          <w:b/>
          <w:color w:val="1B1C1D"/>
        </w:rPr>
        <w:t>第二条 关于既有义务的具体披露</w:t>
      </w:r>
    </w:p>
    <w:p w14:paraId="553D1F7D">
      <w:pPr>
        <w:spacing w:line="420" w:lineRule="exact"/>
        <w:ind w:firstLine="420" w:firstLineChars="200"/>
        <w:rPr>
          <w:rFonts w:ascii="宋体" w:hAnsi="宋体" w:cs="宋体"/>
          <w:color w:val="1B1C1D"/>
        </w:rPr>
      </w:pPr>
      <w:r>
        <w:rPr>
          <w:rFonts w:hint="eastAsia" w:ascii="宋体" w:hAnsi="宋体" w:cs="宋体"/>
          <w:color w:val="1B1C1D"/>
        </w:rPr>
        <w:t>（如您在第一条中选择了“选项二”，请务必完成本条的披露）</w:t>
      </w:r>
    </w:p>
    <w:p w14:paraId="5FBBB839">
      <w:pPr>
        <w:spacing w:line="420" w:lineRule="exact"/>
        <w:ind w:firstLine="420" w:firstLineChars="200"/>
        <w:rPr>
          <w:rFonts w:ascii="宋体" w:hAnsi="宋体" w:cs="宋体"/>
          <w:color w:val="1B1C1D"/>
        </w:rPr>
      </w:pPr>
      <w:r>
        <w:rPr>
          <w:rFonts w:hint="eastAsia" w:ascii="宋体" w:hAnsi="宋体" w:cs="宋体"/>
          <w:color w:val="1B1C1D"/>
        </w:rPr>
        <w:t>本人在此确认并披露以下具体信息：</w:t>
      </w:r>
    </w:p>
    <w:p w14:paraId="06E40C3F">
      <w:pPr>
        <w:spacing w:line="420" w:lineRule="exact"/>
        <w:ind w:firstLine="420" w:firstLineChars="200"/>
        <w:rPr>
          <w:rFonts w:ascii="宋体" w:hAnsi="宋体" w:cs="宋体"/>
        </w:rPr>
      </w:pPr>
      <w:r>
        <w:rPr>
          <w:rFonts w:hint="eastAsia" w:ascii="宋体" w:hAnsi="宋体" w:cs="宋体"/>
          <w:color w:val="000000"/>
        </w:rPr>
        <w:t>1.</w:t>
      </w:r>
      <w:r>
        <w:rPr>
          <w:rFonts w:hint="eastAsia" w:ascii="宋体" w:hAnsi="宋体" w:cs="宋体"/>
          <w:color w:val="1B1C1D"/>
        </w:rPr>
        <w:t>本人与任何前雇主之间，是否存在尚在有效期内的《竞业限制协议》？</w:t>
      </w:r>
    </w:p>
    <w:p w14:paraId="6D30CACE">
      <w:pPr>
        <w:pStyle w:val="59"/>
        <w:spacing w:line="420" w:lineRule="exact"/>
        <w:ind w:firstLine="420"/>
        <w:rPr>
          <w:rFonts w:ascii="宋体" w:hAnsi="宋体" w:cs="宋体"/>
          <w:szCs w:val="21"/>
        </w:rPr>
      </w:pPr>
      <w:r>
        <w:rPr>
          <w:rFonts w:hint="eastAsia" w:ascii="宋体" w:hAnsi="宋体" w:cs="宋体"/>
          <w:szCs w:val="21"/>
        </w:rPr>
        <w:t>□ 是 （如是，请务必将协议副本提交给公司人力资源部备案）</w:t>
      </w:r>
    </w:p>
    <w:p w14:paraId="683558AC">
      <w:pPr>
        <w:pStyle w:val="59"/>
        <w:spacing w:line="420" w:lineRule="exact"/>
        <w:ind w:firstLine="420"/>
        <w:rPr>
          <w:rFonts w:ascii="宋体" w:hAnsi="宋体" w:cs="宋体"/>
          <w:szCs w:val="21"/>
        </w:rPr>
      </w:pPr>
      <w:r>
        <w:rPr>
          <w:rFonts w:hint="eastAsia" w:ascii="宋体" w:hAnsi="宋体" w:cs="宋体"/>
          <w:szCs w:val="21"/>
        </w:rPr>
        <w:t>□ 否</w:t>
      </w:r>
    </w:p>
    <w:p w14:paraId="2900A1D3">
      <w:pPr>
        <w:spacing w:line="420" w:lineRule="exact"/>
        <w:ind w:firstLine="420" w:firstLineChars="200"/>
        <w:rPr>
          <w:rFonts w:ascii="宋体" w:hAnsi="宋体" w:cs="宋体"/>
        </w:rPr>
      </w:pPr>
      <w:r>
        <w:rPr>
          <w:rFonts w:hint="eastAsia" w:ascii="宋体" w:hAnsi="宋体" w:cs="宋体"/>
          <w:color w:val="000000"/>
        </w:rPr>
        <w:t>2.</w:t>
      </w:r>
      <w:r>
        <w:rPr>
          <w:rFonts w:hint="eastAsia" w:ascii="宋体" w:hAnsi="宋体" w:cs="宋体"/>
          <w:color w:val="1B1C1D"/>
        </w:rPr>
        <w:t>本人与任何前雇主之间，是否存在其他任何形式的、可能影响本人在公司正常履行工作职责的限制性约定（如保密期限、客户不招揽、技术不使用等）？</w:t>
      </w:r>
    </w:p>
    <w:p w14:paraId="41C204C8">
      <w:pPr>
        <w:pStyle w:val="59"/>
        <w:spacing w:line="420" w:lineRule="exact"/>
        <w:ind w:firstLine="420"/>
        <w:rPr>
          <w:rFonts w:ascii="宋体" w:hAnsi="宋体" w:cs="宋体"/>
          <w:szCs w:val="21"/>
        </w:rPr>
      </w:pPr>
      <w:r>
        <w:rPr>
          <w:rFonts w:hint="eastAsia" w:ascii="宋体" w:hAnsi="宋体" w:cs="宋体"/>
          <w:szCs w:val="21"/>
        </w:rPr>
        <w:t>□ 是 （如是，请另附书面说明，详细描述限制内容）</w:t>
      </w:r>
    </w:p>
    <w:p w14:paraId="1793A8CD">
      <w:pPr>
        <w:pStyle w:val="59"/>
        <w:spacing w:line="420" w:lineRule="exact"/>
        <w:ind w:firstLine="420"/>
        <w:rPr>
          <w:rFonts w:ascii="宋体" w:hAnsi="宋体" w:cs="宋体"/>
          <w:szCs w:val="21"/>
        </w:rPr>
      </w:pPr>
      <w:r>
        <w:rPr>
          <w:rFonts w:hint="eastAsia" w:ascii="宋体" w:hAnsi="宋体" w:cs="宋体"/>
          <w:szCs w:val="21"/>
        </w:rPr>
        <w:t>□ 否</w:t>
      </w:r>
    </w:p>
    <w:p w14:paraId="58C68829">
      <w:pPr>
        <w:spacing w:line="420" w:lineRule="exact"/>
        <w:ind w:firstLine="420" w:firstLineChars="200"/>
        <w:rPr>
          <w:rFonts w:ascii="宋体" w:hAnsi="宋体" w:cs="宋体"/>
          <w:color w:val="1B1C1D"/>
        </w:rPr>
      </w:pPr>
      <w:r>
        <w:rPr>
          <w:rFonts w:hint="eastAsia" w:ascii="宋体" w:hAnsi="宋体" w:cs="宋体"/>
          <w:color w:val="1B1C1D"/>
        </w:rPr>
        <w:t>本人承诺，上述披露是真实、完整且准确的。如公司安排的工作可能与本人所负有的竞业限制义务冲突，本人将立即告知公司并请求调整工作。</w:t>
      </w:r>
    </w:p>
    <w:p w14:paraId="5795E281">
      <w:pPr>
        <w:spacing w:line="420" w:lineRule="exact"/>
        <w:ind w:firstLine="422" w:firstLineChars="200"/>
        <w:rPr>
          <w:rFonts w:ascii="宋体" w:hAnsi="宋体" w:cs="宋体"/>
          <w:b/>
          <w:color w:val="1B1C1D"/>
        </w:rPr>
      </w:pPr>
      <w:r>
        <w:rPr>
          <w:rFonts w:hint="eastAsia" w:ascii="宋体" w:hAnsi="宋体" w:cs="宋体"/>
          <w:b/>
          <w:color w:val="1B1C1D"/>
        </w:rPr>
        <w:t>第三条 关于对公司的责任与义务</w:t>
      </w:r>
    </w:p>
    <w:p w14:paraId="340DC22D">
      <w:pPr>
        <w:spacing w:line="420" w:lineRule="exact"/>
        <w:ind w:firstLine="420" w:firstLineChars="200"/>
        <w:rPr>
          <w:rFonts w:ascii="宋体" w:hAnsi="宋体" w:cs="宋体"/>
        </w:rPr>
      </w:pPr>
      <w:r>
        <w:rPr>
          <w:rFonts w:hint="eastAsia" w:ascii="宋体" w:hAnsi="宋体" w:cs="宋体"/>
          <w:color w:val="000000"/>
        </w:rPr>
        <w:t>1.</w:t>
      </w:r>
      <w:r>
        <w:rPr>
          <w:rFonts w:hint="eastAsia" w:ascii="宋体" w:hAnsi="宋体" w:cs="宋体"/>
          <w:color w:val="1B1C1D"/>
        </w:rPr>
        <w:t>本人确认，已阅读并理解公司的《员工手册》、《保密管理制度》及其他关于知识产权与商业秘密保护的相关规定，并将严格遵守。</w:t>
      </w:r>
    </w:p>
    <w:p w14:paraId="69E77525">
      <w:pPr>
        <w:spacing w:line="420" w:lineRule="exact"/>
        <w:ind w:firstLine="420" w:firstLineChars="200"/>
        <w:rPr>
          <w:rFonts w:ascii="宋体" w:hAnsi="宋体" w:cs="宋体"/>
        </w:rPr>
      </w:pPr>
      <w:r>
        <w:rPr>
          <w:rFonts w:hint="eastAsia" w:ascii="宋体" w:hAnsi="宋体" w:cs="宋体"/>
          <w:color w:val="000000"/>
        </w:rPr>
        <w:t>2.</w:t>
      </w:r>
      <w:r>
        <w:rPr>
          <w:rFonts w:hint="eastAsia" w:ascii="宋体" w:hAnsi="宋体" w:cs="宋体"/>
          <w:color w:val="1B1C1D"/>
        </w:rPr>
        <w:t>本人承诺，将严格履行与公司签署的《劳动合同》及《保密协议》中约定的各项保密义务。</w:t>
      </w:r>
    </w:p>
    <w:p w14:paraId="79D49A02">
      <w:pPr>
        <w:spacing w:line="420" w:lineRule="exact"/>
        <w:ind w:firstLine="422" w:firstLineChars="200"/>
        <w:rPr>
          <w:rFonts w:ascii="宋体" w:hAnsi="宋体" w:cs="宋体"/>
          <w:b/>
          <w:color w:val="1B1C1D"/>
        </w:rPr>
      </w:pPr>
      <w:r>
        <w:rPr>
          <w:rFonts w:hint="eastAsia" w:ascii="宋体" w:hAnsi="宋体" w:cs="宋体"/>
          <w:b/>
          <w:color w:val="1B1C1D"/>
        </w:rPr>
        <w:t>第四条 违约责任</w:t>
      </w:r>
    </w:p>
    <w:p w14:paraId="3F0FFAEF">
      <w:pPr>
        <w:spacing w:line="420" w:lineRule="exact"/>
        <w:ind w:firstLine="420" w:firstLineChars="200"/>
        <w:rPr>
          <w:rFonts w:ascii="宋体" w:hAnsi="宋体" w:cs="宋体"/>
          <w:color w:val="1B1C1D"/>
        </w:rPr>
      </w:pPr>
      <w:r>
        <w:rPr>
          <w:rFonts w:hint="eastAsia" w:ascii="宋体" w:hAnsi="宋体" w:cs="宋体"/>
          <w:color w:val="1B1C1D"/>
        </w:rPr>
        <w:t>本人充分知晓，如违反本承诺书中的任何一项承诺，将被视为严重违反公司规章制度的行为。</w:t>
      </w:r>
    </w:p>
    <w:p w14:paraId="30F59ED6">
      <w:pPr>
        <w:spacing w:line="420" w:lineRule="exact"/>
        <w:ind w:firstLine="420" w:firstLineChars="200"/>
        <w:rPr>
          <w:rFonts w:ascii="宋体" w:hAnsi="宋体" w:cs="宋体"/>
          <w:color w:val="1B1C1D"/>
        </w:rPr>
      </w:pPr>
      <w:r>
        <w:rPr>
          <w:rFonts w:hint="eastAsia" w:ascii="宋体" w:hAnsi="宋体" w:cs="宋体"/>
          <w:color w:val="1B1C1D"/>
        </w:rPr>
        <w:t>如因本人侵害第三方的商业秘密或违反相关约定产生任何法律责任，该责任将由本人自行承担。若因此给公司造成任何名誉或经济上的损失，公司有权依法向本人追偿全部损失。</w:t>
      </w:r>
    </w:p>
    <w:p w14:paraId="51F140AA">
      <w:pPr>
        <w:spacing w:line="420" w:lineRule="exact"/>
        <w:ind w:firstLine="422" w:firstLineChars="200"/>
        <w:rPr>
          <w:rFonts w:ascii="宋体" w:hAnsi="宋体" w:cs="宋体"/>
          <w:b/>
          <w:color w:val="1B1C1D"/>
        </w:rPr>
      </w:pPr>
      <w:r>
        <w:rPr>
          <w:rFonts w:hint="eastAsia" w:ascii="宋体" w:hAnsi="宋体" w:cs="宋体"/>
          <w:b/>
          <w:color w:val="1B1C1D"/>
        </w:rPr>
        <w:t>本承诺书是本人真实的意思表示，本人已仔细阅读并完全理解其中所有条款的含义。</w:t>
      </w:r>
    </w:p>
    <w:p w14:paraId="764CA7BF">
      <w:pPr>
        <w:spacing w:line="420" w:lineRule="exact"/>
        <w:ind w:firstLine="420" w:firstLineChars="200"/>
        <w:jc w:val="right"/>
        <w:rPr>
          <w:rFonts w:ascii="宋体" w:hAnsi="宋体" w:cs="宋体"/>
          <w:color w:val="1B1C1D"/>
        </w:rPr>
      </w:pPr>
      <w:r>
        <w:rPr>
          <w:rFonts w:hint="eastAsia" w:ascii="宋体" w:hAnsi="宋体" w:cs="宋体"/>
          <w:color w:val="1B1C1D"/>
        </w:rPr>
        <w:t>承诺人（签字）：___________________</w:t>
      </w:r>
    </w:p>
    <w:p w14:paraId="16EFFCE2">
      <w:pPr>
        <w:spacing w:line="420" w:lineRule="exact"/>
        <w:ind w:firstLine="420" w:firstLineChars="200"/>
        <w:jc w:val="right"/>
      </w:pPr>
      <w:r>
        <w:rPr>
          <w:rFonts w:hint="eastAsia" w:ascii="宋体" w:hAnsi="宋体" w:cs="宋体"/>
          <w:color w:val="1B1C1D"/>
        </w:rPr>
        <w:t>日期：____年__月__日</w:t>
      </w:r>
    </w:p>
    <w:p w14:paraId="075DE4B2">
      <w:pPr>
        <w:pStyle w:val="201"/>
        <w:sectPr>
          <w:headerReference r:id="rId22" w:type="default"/>
          <w:footerReference r:id="rId24" w:type="default"/>
          <w:headerReference r:id="rId23" w:type="even"/>
          <w:footerReference r:id="rId25" w:type="even"/>
          <w:pgSz w:w="11906" w:h="16838"/>
          <w:pgMar w:top="1928" w:right="1134" w:bottom="1134" w:left="1134" w:header="1418" w:footer="1134" w:gutter="284"/>
          <w:cols w:space="425" w:num="1"/>
          <w:formProt w:val="0"/>
          <w:docGrid w:type="lines" w:linePitch="312" w:charSpace="0"/>
        </w:sectPr>
      </w:pPr>
    </w:p>
    <w:p w14:paraId="496638B3">
      <w:pPr>
        <w:pStyle w:val="201"/>
      </w:pPr>
    </w:p>
    <w:p w14:paraId="1812E28B">
      <w:pPr>
        <w:pStyle w:val="202"/>
      </w:pPr>
    </w:p>
    <w:p w14:paraId="0762F395">
      <w:pPr>
        <w:pStyle w:val="79"/>
        <w:spacing w:after="156"/>
      </w:pPr>
      <w:bookmarkStart w:id="356" w:name="_Toc22727"/>
      <w:bookmarkStart w:id="357" w:name="_Toc22952"/>
      <w:r>
        <w:br w:type="textWrapping"/>
      </w:r>
      <w:bookmarkStart w:id="358" w:name="_Toc219723719"/>
      <w:bookmarkStart w:id="359" w:name="_Toc214009870"/>
      <w:bookmarkStart w:id="360" w:name="_Toc214009903"/>
      <w:r>
        <w:rPr>
          <w:rFonts w:hint="eastAsia"/>
        </w:rPr>
        <w:t>（资料性）</w:t>
      </w:r>
      <w:r>
        <w:rPr>
          <w:rFonts w:hint="eastAsia"/>
        </w:rPr>
        <w:br w:type="textWrapping"/>
      </w:r>
      <w:r>
        <w:rPr>
          <w:rFonts w:hint="eastAsia"/>
        </w:rPr>
        <w:t>员工保密协议</w:t>
      </w:r>
      <w:bookmarkEnd w:id="356"/>
      <w:bookmarkEnd w:id="357"/>
      <w:bookmarkEnd w:id="358"/>
      <w:bookmarkEnd w:id="359"/>
      <w:bookmarkEnd w:id="360"/>
    </w:p>
    <w:p w14:paraId="0BBF3170">
      <w:pPr>
        <w:pStyle w:val="59"/>
        <w:spacing w:line="400" w:lineRule="exact"/>
        <w:ind w:firstLine="7560" w:firstLineChars="3600"/>
        <w:rPr>
          <w:rFonts w:ascii="宋体" w:hAnsi="宋体" w:cs="宋体"/>
          <w:szCs w:val="21"/>
        </w:rPr>
      </w:pPr>
      <w:r>
        <w:rPr>
          <w:rFonts w:hint="eastAsia" w:ascii="宋体" w:hAnsi="宋体" w:cs="宋体"/>
          <w:szCs w:val="21"/>
        </w:rPr>
        <w:t>协议编号：</w:t>
      </w:r>
    </w:p>
    <w:p w14:paraId="292672F3">
      <w:pPr>
        <w:pStyle w:val="59"/>
        <w:spacing w:line="400" w:lineRule="exact"/>
        <w:ind w:firstLine="420"/>
        <w:rPr>
          <w:rFonts w:ascii="宋体" w:hAnsi="宋体" w:cs="宋体"/>
          <w:szCs w:val="21"/>
        </w:rPr>
      </w:pPr>
    </w:p>
    <w:p w14:paraId="17D9596E">
      <w:pPr>
        <w:pStyle w:val="59"/>
        <w:spacing w:line="400" w:lineRule="exact"/>
        <w:ind w:firstLine="420"/>
        <w:rPr>
          <w:rFonts w:ascii="宋体" w:hAnsi="宋体" w:cs="宋体"/>
          <w:szCs w:val="21"/>
        </w:rPr>
      </w:pPr>
      <w:r>
        <w:rPr>
          <w:rFonts w:hint="eastAsia" w:ascii="宋体" w:hAnsi="宋体" w:cs="宋体"/>
          <w:szCs w:val="21"/>
        </w:rPr>
        <w:t xml:space="preserve">甲方： </w:t>
      </w:r>
      <w:r>
        <w:rPr>
          <w:rFonts w:hint="eastAsia" w:ascii="宋体" w:hAnsi="宋体" w:cs="宋体"/>
          <w:szCs w:val="21"/>
          <w:u w:val="single"/>
        </w:rPr>
        <w:t xml:space="preserve">                         </w:t>
      </w:r>
      <w:r>
        <w:rPr>
          <w:rFonts w:hint="eastAsia" w:ascii="宋体" w:hAnsi="宋体" w:cs="宋体"/>
          <w:szCs w:val="21"/>
        </w:rPr>
        <w:t xml:space="preserve">           </w:t>
      </w:r>
    </w:p>
    <w:p w14:paraId="28E38638">
      <w:pPr>
        <w:pStyle w:val="59"/>
        <w:spacing w:line="400" w:lineRule="exact"/>
        <w:ind w:firstLine="420"/>
        <w:rPr>
          <w:rFonts w:ascii="宋体" w:hAnsi="宋体" w:cs="宋体"/>
          <w:szCs w:val="21"/>
        </w:rPr>
      </w:pPr>
      <w:r>
        <w:rPr>
          <w:rFonts w:hint="eastAsia" w:ascii="宋体" w:hAnsi="宋体" w:cs="宋体"/>
          <w:szCs w:val="21"/>
        </w:rPr>
        <w:t xml:space="preserve">法定代表人或授权代表： </w:t>
      </w:r>
      <w:r>
        <w:rPr>
          <w:rFonts w:hint="eastAsia" w:ascii="宋体" w:hAnsi="宋体" w:cs="宋体"/>
          <w:szCs w:val="21"/>
          <w:u w:val="single"/>
        </w:rPr>
        <w:t xml:space="preserve">                         </w:t>
      </w:r>
      <w:r>
        <w:rPr>
          <w:rFonts w:hint="eastAsia" w:ascii="宋体" w:hAnsi="宋体" w:cs="宋体"/>
          <w:szCs w:val="21"/>
        </w:rPr>
        <w:t xml:space="preserve">                      </w:t>
      </w:r>
    </w:p>
    <w:p w14:paraId="484D6597">
      <w:pPr>
        <w:pStyle w:val="59"/>
        <w:spacing w:line="400" w:lineRule="exact"/>
        <w:ind w:firstLine="42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w:t>
      </w:r>
    </w:p>
    <w:p w14:paraId="7A582403">
      <w:pPr>
        <w:pStyle w:val="59"/>
        <w:spacing w:line="400" w:lineRule="exact"/>
        <w:ind w:firstLine="420"/>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w:t>
      </w:r>
    </w:p>
    <w:p w14:paraId="5E0EF3F9">
      <w:pPr>
        <w:pStyle w:val="59"/>
        <w:spacing w:line="400" w:lineRule="exact"/>
        <w:ind w:firstLine="420"/>
        <w:rPr>
          <w:rFonts w:ascii="宋体" w:hAnsi="宋体" w:cs="宋体"/>
          <w:szCs w:val="21"/>
        </w:rPr>
      </w:pPr>
    </w:p>
    <w:p w14:paraId="75F3F88D">
      <w:pPr>
        <w:pStyle w:val="59"/>
        <w:spacing w:line="400" w:lineRule="exact"/>
        <w:ind w:firstLine="420"/>
        <w:rPr>
          <w:rFonts w:ascii="宋体" w:hAnsi="宋体" w:cs="宋体"/>
          <w:szCs w:val="21"/>
        </w:rPr>
      </w:pPr>
      <w:r>
        <w:rPr>
          <w:rFonts w:hint="eastAsia" w:ascii="宋体" w:hAnsi="宋体" w:cs="宋体"/>
          <w:szCs w:val="21"/>
        </w:rPr>
        <w:t>乙方：</w:t>
      </w:r>
      <w:r>
        <w:rPr>
          <w:rFonts w:hint="eastAsia" w:ascii="宋体" w:hAnsi="宋体" w:cs="宋体"/>
          <w:szCs w:val="21"/>
          <w:u w:val="single"/>
        </w:rPr>
        <w:t xml:space="preserve">                         </w:t>
      </w:r>
      <w:r>
        <w:rPr>
          <w:rFonts w:hint="eastAsia" w:ascii="宋体" w:hAnsi="宋体" w:cs="宋体"/>
          <w:szCs w:val="21"/>
        </w:rPr>
        <w:t xml:space="preserve">                                     </w:t>
      </w:r>
    </w:p>
    <w:p w14:paraId="570BE0C5">
      <w:pPr>
        <w:pStyle w:val="59"/>
        <w:spacing w:line="400" w:lineRule="exact"/>
        <w:ind w:firstLine="420"/>
        <w:rPr>
          <w:rFonts w:ascii="宋体" w:hAnsi="宋体" w:cs="宋体"/>
          <w:szCs w:val="21"/>
        </w:rPr>
      </w:pP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 xml:space="preserve">                                 </w:t>
      </w:r>
    </w:p>
    <w:p w14:paraId="267B37DD">
      <w:pPr>
        <w:pStyle w:val="59"/>
        <w:spacing w:line="400" w:lineRule="exact"/>
        <w:ind w:firstLine="420"/>
        <w:rPr>
          <w:rFonts w:ascii="宋体" w:hAnsi="宋体" w:cs="宋体"/>
          <w:szCs w:val="21"/>
        </w:rPr>
      </w:pP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w:t>
      </w:r>
    </w:p>
    <w:p w14:paraId="54F643CC">
      <w:pPr>
        <w:pStyle w:val="59"/>
        <w:spacing w:line="400" w:lineRule="exact"/>
        <w:ind w:firstLine="420"/>
        <w:rPr>
          <w:rFonts w:ascii="宋体" w:hAnsi="宋体" w:cs="宋体"/>
          <w:szCs w:val="21"/>
        </w:rPr>
      </w:pPr>
      <w:r>
        <w:rPr>
          <w:rFonts w:hint="eastAsia" w:ascii="宋体" w:hAnsi="宋体" w:cs="宋体"/>
          <w:szCs w:val="21"/>
        </w:rPr>
        <w:t>住址：</w:t>
      </w:r>
      <w:r>
        <w:rPr>
          <w:rFonts w:hint="eastAsia" w:ascii="宋体" w:hAnsi="宋体" w:cs="宋体"/>
          <w:szCs w:val="21"/>
          <w:u w:val="single"/>
        </w:rPr>
        <w:t xml:space="preserve">                         </w:t>
      </w:r>
      <w:r>
        <w:rPr>
          <w:rFonts w:hint="eastAsia" w:ascii="宋体" w:hAnsi="宋体" w:cs="宋体"/>
          <w:szCs w:val="21"/>
        </w:rPr>
        <w:t xml:space="preserve">                                     </w:t>
      </w:r>
    </w:p>
    <w:p w14:paraId="4BE345E8">
      <w:pPr>
        <w:pStyle w:val="59"/>
        <w:spacing w:line="400" w:lineRule="exact"/>
        <w:ind w:firstLine="420"/>
        <w:rPr>
          <w:rFonts w:ascii="宋体" w:hAnsi="宋体" w:cs="宋体"/>
          <w:szCs w:val="21"/>
        </w:rPr>
      </w:pPr>
      <w:r>
        <w:rPr>
          <w:rFonts w:hint="eastAsia" w:ascii="宋体" w:hAnsi="宋体" w:cs="宋体"/>
          <w:szCs w:val="21"/>
        </w:rPr>
        <w:t>签署日期：</w:t>
      </w:r>
      <w:r>
        <w:rPr>
          <w:rFonts w:hint="eastAsia" w:ascii="宋体" w:hAnsi="宋体" w:cs="宋体"/>
          <w:szCs w:val="21"/>
          <w:u w:val="single"/>
        </w:rPr>
        <w:t xml:space="preserve">                         </w:t>
      </w:r>
      <w:r>
        <w:rPr>
          <w:rFonts w:hint="eastAsia" w:ascii="宋体" w:hAnsi="宋体" w:cs="宋体"/>
          <w:szCs w:val="21"/>
        </w:rPr>
        <w:t xml:space="preserve">                                 </w:t>
      </w:r>
    </w:p>
    <w:p w14:paraId="2361AF57">
      <w:pPr>
        <w:pStyle w:val="59"/>
        <w:spacing w:line="400" w:lineRule="exact"/>
        <w:ind w:firstLine="420"/>
        <w:rPr>
          <w:rFonts w:ascii="宋体" w:hAnsi="宋体" w:cs="宋体"/>
          <w:szCs w:val="21"/>
        </w:rPr>
      </w:pPr>
    </w:p>
    <w:p w14:paraId="5A0C2DA7">
      <w:pPr>
        <w:pStyle w:val="59"/>
        <w:widowControl w:val="0"/>
        <w:wordWrap w:val="0"/>
        <w:spacing w:line="400" w:lineRule="exact"/>
        <w:ind w:firstLine="420"/>
        <w:rPr>
          <w:rFonts w:ascii="宋体" w:hAnsi="宋体" w:cs="宋体"/>
          <w:szCs w:val="21"/>
        </w:rPr>
      </w:pPr>
      <w:r>
        <w:rPr>
          <w:rFonts w:hint="eastAsia" w:ascii="宋体" w:hAnsi="宋体" w:cs="宋体"/>
          <w:szCs w:val="21"/>
        </w:rPr>
        <w:t>乙方因在甲方单位履行职务，知悉甲方的商业秘密。为明确乙方的保密义务，甲、乙双方在遵循平等自愿、协商一致、诚实信用的原则下，订立本协议。</w:t>
      </w:r>
    </w:p>
    <w:p w14:paraId="1FB0A521">
      <w:pPr>
        <w:pStyle w:val="59"/>
        <w:widowControl w:val="0"/>
        <w:wordWrap w:val="0"/>
        <w:spacing w:line="400" w:lineRule="exact"/>
        <w:ind w:firstLine="422"/>
        <w:rPr>
          <w:rFonts w:ascii="宋体" w:hAnsi="宋体" w:cs="宋体"/>
          <w:szCs w:val="21"/>
        </w:rPr>
      </w:pPr>
      <w:r>
        <w:rPr>
          <w:rFonts w:hint="eastAsia" w:ascii="宋体" w:hAnsi="宋体" w:cs="宋体"/>
          <w:b/>
          <w:bCs/>
          <w:szCs w:val="21"/>
        </w:rPr>
        <w:t>一、保密内容和范围</w:t>
      </w:r>
      <w:r>
        <w:rPr>
          <w:rFonts w:hint="eastAsia" w:ascii="宋体" w:hAnsi="宋体" w:cs="宋体"/>
          <w:szCs w:val="21"/>
        </w:rPr>
        <w:t>（企业结合自身业务发展情况、范围进行划定）</w:t>
      </w:r>
    </w:p>
    <w:p w14:paraId="51E63F13">
      <w:pPr>
        <w:pStyle w:val="59"/>
        <w:widowControl w:val="0"/>
        <w:wordWrap w:val="0"/>
        <w:spacing w:line="400" w:lineRule="exact"/>
        <w:ind w:firstLine="420"/>
        <w:rPr>
          <w:rFonts w:ascii="宋体" w:hAnsi="宋体" w:cs="宋体"/>
          <w:szCs w:val="21"/>
        </w:rPr>
      </w:pPr>
      <w:r>
        <w:rPr>
          <w:rFonts w:hint="eastAsia" w:ascii="宋体" w:hAnsi="宋体" w:cs="宋体"/>
          <w:szCs w:val="21"/>
        </w:rPr>
        <w:t>甲、乙双方确认，乙方应承担保密义务的甲方商业秘密范围包括以下内容：</w:t>
      </w:r>
    </w:p>
    <w:p w14:paraId="0948394B">
      <w:pPr>
        <w:pStyle w:val="59"/>
        <w:widowControl w:val="0"/>
        <w:wordWrap w:val="0"/>
        <w:spacing w:line="400" w:lineRule="exact"/>
        <w:ind w:firstLine="420"/>
        <w:rPr>
          <w:rFonts w:ascii="宋体" w:hAnsi="宋体" w:cs="宋体"/>
          <w:szCs w:val="21"/>
        </w:rPr>
      </w:pPr>
      <w:r>
        <w:rPr>
          <w:rFonts w:hint="eastAsia" w:ascii="宋体" w:hAnsi="宋体" w:cs="宋体"/>
          <w:szCs w:val="21"/>
        </w:rPr>
        <w:t>1.技术信息：包括设计、程序、专利技术、产品配方、制作工艺、制作方法等；</w:t>
      </w:r>
    </w:p>
    <w:p w14:paraId="0AABB2FC">
      <w:pPr>
        <w:pStyle w:val="59"/>
        <w:widowControl w:val="0"/>
        <w:wordWrap w:val="0"/>
        <w:spacing w:line="400" w:lineRule="exact"/>
        <w:ind w:firstLine="420"/>
        <w:rPr>
          <w:rFonts w:ascii="宋体" w:hAnsi="宋体" w:cs="宋体"/>
          <w:szCs w:val="21"/>
        </w:rPr>
      </w:pPr>
      <w:r>
        <w:rPr>
          <w:rFonts w:hint="eastAsia" w:ascii="宋体" w:hAnsi="宋体" w:cs="宋体"/>
          <w:szCs w:val="21"/>
        </w:rPr>
        <w:t>2.经营信息：包括管理诀窍、客户名单、货源情报、产销策略、招投标中的标底及标书内容、财务资料等；</w:t>
      </w:r>
    </w:p>
    <w:p w14:paraId="5EE1D037">
      <w:pPr>
        <w:pStyle w:val="59"/>
        <w:widowControl w:val="0"/>
        <w:wordWrap w:val="0"/>
        <w:spacing w:line="400" w:lineRule="exact"/>
        <w:ind w:firstLine="420"/>
        <w:rPr>
          <w:rFonts w:ascii="宋体" w:hAnsi="宋体" w:cs="宋体"/>
          <w:szCs w:val="21"/>
        </w:rPr>
      </w:pPr>
      <w:r>
        <w:rPr>
          <w:rFonts w:hint="eastAsia" w:ascii="宋体" w:hAnsi="宋体" w:cs="宋体"/>
          <w:szCs w:val="21"/>
        </w:rPr>
        <w:t>3.其他甲方依据</w:t>
      </w:r>
      <w:r>
        <w:rPr>
          <w:rFonts w:ascii="宋体" w:hAnsi="宋体" w:cs="宋体"/>
          <w:szCs w:val="21"/>
        </w:rPr>
        <w:t>法律</w:t>
      </w:r>
      <w:r>
        <w:rPr>
          <w:rFonts w:hint="eastAsia" w:ascii="宋体" w:hAnsi="宋体" w:cs="宋体"/>
          <w:szCs w:val="21"/>
        </w:rPr>
        <w:t>规定</w:t>
      </w:r>
      <w:r>
        <w:rPr>
          <w:rFonts w:ascii="宋体" w:hAnsi="宋体" w:cs="宋体"/>
          <w:szCs w:val="21"/>
        </w:rPr>
        <w:t>或有关</w:t>
      </w:r>
      <w:r>
        <w:rPr>
          <w:rFonts w:hint="eastAsia" w:ascii="宋体" w:hAnsi="宋体" w:cs="宋体"/>
          <w:szCs w:val="21"/>
        </w:rPr>
        <w:t>协议</w:t>
      </w:r>
      <w:r>
        <w:rPr>
          <w:rFonts w:ascii="宋体" w:hAnsi="宋体" w:cs="宋体"/>
          <w:szCs w:val="21"/>
        </w:rPr>
        <w:t>约定</w:t>
      </w:r>
      <w:r>
        <w:rPr>
          <w:rFonts w:hint="eastAsia" w:ascii="宋体" w:hAnsi="宋体" w:cs="宋体"/>
          <w:szCs w:val="21"/>
        </w:rPr>
        <w:t>中</w:t>
      </w:r>
      <w:r>
        <w:rPr>
          <w:rFonts w:ascii="宋体" w:hAnsi="宋体" w:cs="宋体"/>
          <w:szCs w:val="21"/>
        </w:rPr>
        <w:t>对外承担保密义务</w:t>
      </w:r>
      <w:r>
        <w:rPr>
          <w:rFonts w:hint="eastAsia" w:ascii="宋体" w:hAnsi="宋体" w:cs="宋体"/>
          <w:szCs w:val="21"/>
        </w:rPr>
        <w:t>的信息及资料。</w:t>
      </w:r>
    </w:p>
    <w:p w14:paraId="2061C5EA">
      <w:pPr>
        <w:pStyle w:val="59"/>
        <w:widowControl w:val="0"/>
        <w:wordWrap w:val="0"/>
        <w:spacing w:line="400" w:lineRule="exact"/>
        <w:ind w:firstLine="422"/>
        <w:rPr>
          <w:rFonts w:ascii="宋体" w:hAnsi="宋体" w:cs="宋体"/>
          <w:szCs w:val="21"/>
        </w:rPr>
      </w:pPr>
      <w:r>
        <w:rPr>
          <w:rFonts w:hint="eastAsia" w:ascii="宋体" w:hAnsi="宋体" w:cs="宋体"/>
          <w:b/>
          <w:bCs/>
          <w:szCs w:val="21"/>
        </w:rPr>
        <w:t>二、保密权利和义务</w:t>
      </w:r>
    </w:p>
    <w:p w14:paraId="38D59FC4">
      <w:pPr>
        <w:pStyle w:val="59"/>
        <w:widowControl w:val="0"/>
        <w:wordWrap w:val="0"/>
        <w:spacing w:line="400" w:lineRule="exact"/>
        <w:ind w:firstLine="420"/>
        <w:rPr>
          <w:rFonts w:ascii="宋体" w:hAnsi="宋体" w:cs="宋体"/>
          <w:szCs w:val="21"/>
        </w:rPr>
      </w:pPr>
      <w:r>
        <w:rPr>
          <w:rFonts w:hint="eastAsia" w:ascii="宋体" w:hAnsi="宋体" w:cs="宋体"/>
          <w:szCs w:val="21"/>
        </w:rPr>
        <w:t>1.在工作过程中持有或保管记录有公司保密信息的文件、资料、磁盘以及其他任何形式的载体，或在工作过程中形成的以公司名义申请的专利技术、发明、图纸、软件及其发展或改进，其所有权及使用权均归甲方所有；乙方不得以竞争目的、或出于私利等而擅自保存、披露、使用工作中的商业秘密信息；乙方离职时不得带走甲方任何商业秘密信息。</w:t>
      </w:r>
    </w:p>
    <w:p w14:paraId="4323D35D">
      <w:pPr>
        <w:pStyle w:val="59"/>
        <w:widowControl w:val="0"/>
        <w:wordWrap w:val="0"/>
        <w:spacing w:line="400" w:lineRule="exact"/>
        <w:ind w:firstLine="420"/>
        <w:rPr>
          <w:rFonts w:ascii="宋体" w:hAnsi="宋体" w:cs="宋体"/>
          <w:szCs w:val="21"/>
        </w:rPr>
      </w:pPr>
      <w:r>
        <w:rPr>
          <w:rFonts w:hint="eastAsia" w:ascii="宋体" w:hAnsi="宋体" w:cs="宋体"/>
          <w:szCs w:val="21"/>
        </w:rPr>
        <w:t>2.未经甲方书面同意，乙方不得以任何方式向任何人泄露甲方商业秘密。</w:t>
      </w:r>
    </w:p>
    <w:p w14:paraId="609ED9CD">
      <w:pPr>
        <w:pStyle w:val="59"/>
        <w:widowControl w:val="0"/>
        <w:wordWrap w:val="0"/>
        <w:spacing w:line="400" w:lineRule="exact"/>
        <w:ind w:firstLine="420"/>
        <w:rPr>
          <w:rFonts w:ascii="宋体" w:hAnsi="宋体" w:cs="宋体"/>
          <w:szCs w:val="21"/>
        </w:rPr>
      </w:pPr>
      <w:r>
        <w:rPr>
          <w:rFonts w:hint="eastAsia" w:ascii="宋体" w:hAnsi="宋体" w:cs="宋体"/>
          <w:szCs w:val="21"/>
        </w:rPr>
        <w:t>3.乙方不得打听、刺探、收集与本职工作或本身业务无关的商业秘密，不得复制、存放与本职工作无关的含有甲方保密信息的物品、文件，不得以盗窃、利诱、胁迫或者其他任何不正当手段获取甲方保密信息；未经授权，不得超越保密制度规定职权范围行使批准权，不得准许他人知悉、披露、使用、转让甲方保密信息，不得准许他人复制、存放、携带、转移含有甲方保密信息的物品、文件，不得准许他人进入保密场所。</w:t>
      </w:r>
    </w:p>
    <w:p w14:paraId="2DC59E07">
      <w:pPr>
        <w:pStyle w:val="59"/>
        <w:widowControl w:val="0"/>
        <w:wordWrap w:val="0"/>
        <w:spacing w:line="400" w:lineRule="exact"/>
        <w:ind w:firstLine="420"/>
        <w:rPr>
          <w:rFonts w:ascii="宋体" w:hAnsi="宋体" w:cs="宋体"/>
          <w:szCs w:val="21"/>
        </w:rPr>
      </w:pPr>
      <w:r>
        <w:rPr>
          <w:rFonts w:hint="eastAsia" w:ascii="宋体" w:hAnsi="宋体" w:cs="宋体"/>
          <w:szCs w:val="21"/>
        </w:rPr>
        <w:t>4.不得允许（出借、赠与、出租、转让等处分甲方商业秘密行为的行为均属“允许”）或协助不承担保密义务的任何第三方使用甲方的商业秘密。</w:t>
      </w:r>
    </w:p>
    <w:p w14:paraId="67289676">
      <w:pPr>
        <w:pStyle w:val="59"/>
        <w:widowControl w:val="0"/>
        <w:wordWrap w:val="0"/>
        <w:spacing w:line="400" w:lineRule="exact"/>
        <w:ind w:firstLine="420"/>
        <w:rPr>
          <w:rFonts w:ascii="宋体" w:hAnsi="宋体" w:cs="宋体"/>
          <w:szCs w:val="21"/>
        </w:rPr>
      </w:pPr>
      <w:r>
        <w:rPr>
          <w:rFonts w:hint="eastAsia" w:ascii="宋体" w:hAnsi="宋体" w:cs="宋体"/>
          <w:szCs w:val="21"/>
        </w:rPr>
        <w:t>5.乙方必须严格遵守甲方的保密制度，并</w:t>
      </w:r>
      <w:r>
        <w:rPr>
          <w:rFonts w:ascii="宋体" w:hAnsi="宋体" w:cs="宋体"/>
          <w:szCs w:val="21"/>
        </w:rPr>
        <w:t>履行与其工作岗位相应的保密职责，采取必要的措施防止本部门、本岗位存放的甲方保密信息扩散到与该商业秘密无关的任何单位和任何个人</w:t>
      </w:r>
      <w:r>
        <w:rPr>
          <w:rFonts w:hint="eastAsia" w:ascii="宋体" w:hAnsi="宋体" w:cs="宋体"/>
          <w:szCs w:val="21"/>
        </w:rPr>
        <w:t>。</w:t>
      </w:r>
    </w:p>
    <w:p w14:paraId="2DDB56CF">
      <w:pPr>
        <w:pStyle w:val="59"/>
        <w:widowControl w:val="0"/>
        <w:wordWrap w:val="0"/>
        <w:spacing w:line="400" w:lineRule="exact"/>
        <w:ind w:firstLine="420"/>
        <w:rPr>
          <w:rFonts w:ascii="宋体" w:hAnsi="宋体" w:cs="宋体"/>
          <w:szCs w:val="21"/>
        </w:rPr>
      </w:pPr>
      <w:r>
        <w:rPr>
          <w:rFonts w:hint="eastAsia" w:ascii="宋体" w:hAnsi="宋体" w:cs="宋体"/>
          <w:szCs w:val="21"/>
        </w:rPr>
        <w:t>6.如发现商业秘密被泄露或自己过失泄露商业秘密，应当采取有效措施防止泄密进一步扩大，并及时向甲方企业报告。</w:t>
      </w:r>
    </w:p>
    <w:p w14:paraId="0D43014C">
      <w:pPr>
        <w:pStyle w:val="59"/>
        <w:widowControl w:val="0"/>
        <w:wordWrap w:val="0"/>
        <w:spacing w:line="400" w:lineRule="exact"/>
        <w:ind w:firstLine="420"/>
        <w:rPr>
          <w:rFonts w:ascii="宋体" w:hAnsi="宋体" w:cs="宋体"/>
          <w:szCs w:val="21"/>
        </w:rPr>
      </w:pPr>
      <w:r>
        <w:rPr>
          <w:rFonts w:hint="eastAsia" w:ascii="宋体" w:hAnsi="宋体" w:cs="宋体"/>
          <w:szCs w:val="21"/>
        </w:rPr>
        <w:t>7.乙方承诺，在为甲方履行职务时，不违法使用、披露第三方使用任何属于他人的保密信息，亦不实施侵犯他人知识产权的行为。</w:t>
      </w:r>
    </w:p>
    <w:p w14:paraId="3A73B476">
      <w:pPr>
        <w:pStyle w:val="59"/>
        <w:widowControl w:val="0"/>
        <w:wordWrap w:val="0"/>
        <w:spacing w:line="400" w:lineRule="exact"/>
        <w:ind w:firstLine="420"/>
        <w:rPr>
          <w:rFonts w:ascii="宋体" w:hAnsi="宋体" w:cs="宋体"/>
          <w:szCs w:val="21"/>
        </w:rPr>
      </w:pPr>
      <w:r>
        <w:rPr>
          <w:rFonts w:hint="eastAsia" w:ascii="宋体" w:hAnsi="宋体" w:cs="宋体"/>
          <w:szCs w:val="21"/>
        </w:rPr>
        <w:t>8.乙方亦应本着忠诚、守信、谨慎的态度，采取一切必要、合理、有效的措施，维护其在任职期间知悉或者持有的任何甲方保密信息，以保持其机密。</w:t>
      </w:r>
    </w:p>
    <w:p w14:paraId="49E889FE">
      <w:pPr>
        <w:pStyle w:val="59"/>
        <w:widowControl w:val="0"/>
        <w:wordWrap w:val="0"/>
        <w:spacing w:line="400" w:lineRule="exact"/>
        <w:ind w:firstLine="422"/>
        <w:rPr>
          <w:rFonts w:ascii="宋体" w:hAnsi="宋体" w:cs="宋体"/>
          <w:szCs w:val="21"/>
        </w:rPr>
      </w:pPr>
      <w:r>
        <w:rPr>
          <w:rFonts w:hint="eastAsia" w:ascii="宋体" w:hAnsi="宋体" w:cs="宋体"/>
          <w:b/>
          <w:bCs/>
          <w:szCs w:val="21"/>
        </w:rPr>
        <w:t>三、保密期限</w:t>
      </w:r>
    </w:p>
    <w:p w14:paraId="7C1C76FA">
      <w:pPr>
        <w:pStyle w:val="59"/>
        <w:widowControl w:val="0"/>
        <w:wordWrap w:val="0"/>
        <w:spacing w:line="400" w:lineRule="exact"/>
        <w:ind w:firstLine="420"/>
        <w:rPr>
          <w:rFonts w:ascii="宋体" w:hAnsi="宋体" w:cs="宋体"/>
          <w:szCs w:val="21"/>
        </w:rPr>
      </w:pPr>
      <w:r>
        <w:rPr>
          <w:rFonts w:hint="eastAsia" w:ascii="宋体" w:hAnsi="宋体" w:cs="宋体"/>
          <w:szCs w:val="21"/>
        </w:rPr>
        <w:t>1.自双方签订保密协议之日起生效。</w:t>
      </w:r>
    </w:p>
    <w:p w14:paraId="2AE6A368">
      <w:pPr>
        <w:pStyle w:val="59"/>
        <w:widowControl w:val="0"/>
        <w:wordWrap w:val="0"/>
        <w:spacing w:line="400" w:lineRule="exact"/>
        <w:ind w:firstLine="420"/>
        <w:rPr>
          <w:rFonts w:ascii="宋体" w:hAnsi="宋体" w:cs="宋体"/>
          <w:szCs w:val="21"/>
        </w:rPr>
      </w:pPr>
      <w:r>
        <w:rPr>
          <w:rFonts w:hint="eastAsia" w:ascii="宋体" w:hAnsi="宋体" w:cs="宋体"/>
          <w:szCs w:val="21"/>
        </w:rPr>
        <w:t>2.至商业秘密公开后终止。</w:t>
      </w:r>
    </w:p>
    <w:p w14:paraId="66698D71">
      <w:pPr>
        <w:pStyle w:val="59"/>
        <w:widowControl w:val="0"/>
        <w:wordWrap w:val="0"/>
        <w:spacing w:line="400" w:lineRule="exact"/>
        <w:ind w:firstLine="422"/>
        <w:rPr>
          <w:rFonts w:ascii="宋体" w:hAnsi="宋体" w:cs="宋体"/>
          <w:b/>
          <w:bCs/>
          <w:szCs w:val="21"/>
        </w:rPr>
      </w:pPr>
      <w:r>
        <w:rPr>
          <w:rFonts w:hint="eastAsia" w:ascii="宋体" w:hAnsi="宋体" w:cs="宋体"/>
          <w:b/>
          <w:bCs/>
          <w:szCs w:val="21"/>
        </w:rPr>
        <w:t>四、脱密期限</w:t>
      </w:r>
    </w:p>
    <w:p w14:paraId="7CF47247">
      <w:pPr>
        <w:pStyle w:val="59"/>
        <w:widowControl w:val="0"/>
        <w:wordWrap w:val="0"/>
        <w:spacing w:line="400" w:lineRule="exact"/>
        <w:ind w:firstLine="420"/>
        <w:rPr>
          <w:rFonts w:ascii="宋体" w:hAnsi="宋体" w:cs="宋体"/>
          <w:szCs w:val="21"/>
        </w:rPr>
      </w:pPr>
      <w:r>
        <w:rPr>
          <w:rFonts w:hint="eastAsia" w:ascii="宋体" w:hAnsi="宋体" w:cs="宋体"/>
          <w:szCs w:val="21"/>
        </w:rPr>
        <w:t>因履行劳动合同约定条件发生变化，乙方要求解除劳动合同的，必须以书面形式提前_______天通知甲方，提前期即为脱密期限，由甲方采取脱密措施，安排乙方脱离涉密岗位；乙方应完整办妥涉密资料的交接工作。</w:t>
      </w:r>
    </w:p>
    <w:p w14:paraId="38BD5D5E">
      <w:pPr>
        <w:pStyle w:val="59"/>
        <w:widowControl w:val="0"/>
        <w:wordWrap w:val="0"/>
        <w:spacing w:line="400" w:lineRule="exact"/>
        <w:ind w:firstLine="422"/>
        <w:rPr>
          <w:rFonts w:ascii="宋体" w:hAnsi="宋体" w:cs="宋体"/>
          <w:b/>
          <w:bCs/>
          <w:szCs w:val="21"/>
        </w:rPr>
      </w:pPr>
      <w:r>
        <w:rPr>
          <w:rFonts w:hint="eastAsia" w:ascii="宋体" w:hAnsi="宋体" w:cs="宋体"/>
          <w:b/>
          <w:bCs/>
          <w:szCs w:val="21"/>
        </w:rPr>
        <w:t>五、违约责任</w:t>
      </w:r>
    </w:p>
    <w:p w14:paraId="55B61234">
      <w:pPr>
        <w:pStyle w:val="59"/>
        <w:widowControl w:val="0"/>
        <w:wordWrap w:val="0"/>
        <w:spacing w:line="400" w:lineRule="exact"/>
        <w:ind w:firstLine="420"/>
        <w:rPr>
          <w:rFonts w:ascii="宋体" w:hAnsi="宋体" w:cs="宋体"/>
          <w:szCs w:val="21"/>
        </w:rPr>
      </w:pPr>
      <w:r>
        <w:rPr>
          <w:rFonts w:hint="eastAsia" w:ascii="宋体" w:hAnsi="宋体" w:cs="宋体"/>
          <w:szCs w:val="21"/>
        </w:rPr>
        <w:t>1.乙方如有违反本协议第二点所规定的保密义务，给</w:t>
      </w:r>
      <w:r>
        <w:rPr>
          <w:rFonts w:ascii="宋体" w:hAnsi="宋体" w:cs="宋体"/>
          <w:szCs w:val="21"/>
        </w:rPr>
        <w:t>公司造成损失或</w:t>
      </w:r>
      <w:r>
        <w:rPr>
          <w:rFonts w:hint="eastAsia" w:ascii="宋体" w:hAnsi="宋体" w:cs="宋体"/>
          <w:szCs w:val="21"/>
        </w:rPr>
        <w:t>产生</w:t>
      </w:r>
      <w:r>
        <w:rPr>
          <w:rFonts w:ascii="宋体" w:hAnsi="宋体" w:cs="宋体"/>
          <w:szCs w:val="21"/>
        </w:rPr>
        <w:t>其他不良影响的，</w:t>
      </w:r>
      <w:r>
        <w:rPr>
          <w:rFonts w:hint="eastAsia" w:ascii="宋体" w:hAnsi="宋体" w:cs="宋体"/>
          <w:szCs w:val="21"/>
        </w:rPr>
        <w:t>视为</w:t>
      </w:r>
      <w:r>
        <w:rPr>
          <w:rFonts w:ascii="宋体" w:hAnsi="宋体" w:cs="宋体"/>
          <w:szCs w:val="21"/>
        </w:rPr>
        <w:t>严重违反甲方</w:t>
      </w:r>
      <w:r>
        <w:rPr>
          <w:rFonts w:hint="eastAsia" w:ascii="宋体" w:hAnsi="宋体" w:cs="宋体"/>
          <w:szCs w:val="21"/>
        </w:rPr>
        <w:t>公司</w:t>
      </w:r>
      <w:r>
        <w:rPr>
          <w:rFonts w:ascii="宋体" w:hAnsi="宋体" w:cs="宋体"/>
          <w:szCs w:val="21"/>
        </w:rPr>
        <w:t>规章制度，甲方有权</w:t>
      </w:r>
      <w:r>
        <w:rPr>
          <w:rFonts w:hint="eastAsia" w:ascii="宋体" w:hAnsi="宋体" w:cs="宋体"/>
          <w:szCs w:val="21"/>
        </w:rPr>
        <w:t>立即</w:t>
      </w:r>
      <w:r>
        <w:rPr>
          <w:rFonts w:ascii="宋体" w:hAnsi="宋体" w:cs="宋体"/>
          <w:szCs w:val="21"/>
        </w:rPr>
        <w:t>终止与乙方的劳动</w:t>
      </w:r>
      <w:r>
        <w:rPr>
          <w:rFonts w:hint="eastAsia" w:ascii="宋体" w:hAnsi="宋体" w:cs="宋体"/>
          <w:szCs w:val="21"/>
        </w:rPr>
        <w:t>关系且</w:t>
      </w:r>
      <w:r>
        <w:rPr>
          <w:rFonts w:ascii="宋体" w:hAnsi="宋体" w:cs="宋体"/>
          <w:szCs w:val="21"/>
        </w:rPr>
        <w:t>不支付经济补偿金</w:t>
      </w:r>
      <w:r>
        <w:rPr>
          <w:rFonts w:hint="eastAsia" w:ascii="宋体" w:hAnsi="宋体" w:cs="宋体"/>
          <w:szCs w:val="21"/>
        </w:rPr>
        <w:t>。</w:t>
      </w:r>
    </w:p>
    <w:p w14:paraId="3491A40A">
      <w:pPr>
        <w:pStyle w:val="59"/>
        <w:widowControl w:val="0"/>
        <w:wordWrap w:val="0"/>
        <w:spacing w:line="400" w:lineRule="exact"/>
        <w:ind w:firstLine="420"/>
        <w:rPr>
          <w:rFonts w:ascii="宋体" w:hAnsi="宋体" w:cs="宋体"/>
          <w:szCs w:val="21"/>
        </w:rPr>
      </w:pPr>
      <w:r>
        <w:rPr>
          <w:rFonts w:hint="eastAsia" w:ascii="宋体" w:hAnsi="宋体" w:cs="宋体"/>
          <w:szCs w:val="21"/>
        </w:rPr>
        <w:t>2.</w:t>
      </w:r>
      <w:r>
        <w:rPr>
          <w:rFonts w:hint="eastAsia" w:ascii="宋体" w:hAnsi="宋体" w:cs="宋体"/>
        </w:rPr>
        <w:t>因</w:t>
      </w:r>
      <w:r>
        <w:rPr>
          <w:rFonts w:ascii="宋体" w:hAnsi="宋体" w:cs="宋体"/>
        </w:rPr>
        <w:t>乙方违反本协议</w:t>
      </w:r>
      <w:r>
        <w:rPr>
          <w:rFonts w:hint="eastAsia" w:ascii="宋体" w:hAnsi="宋体" w:cs="宋体"/>
        </w:rPr>
        <w:t>之</w:t>
      </w:r>
      <w:r>
        <w:rPr>
          <w:rFonts w:ascii="宋体" w:hAnsi="宋体" w:cs="宋体"/>
        </w:rPr>
        <w:t>约定，</w:t>
      </w:r>
      <w:r>
        <w:rPr>
          <w:rFonts w:hint="eastAsia" w:ascii="宋体" w:hAnsi="宋体" w:cs="宋体"/>
        </w:rPr>
        <w:t>导致</w:t>
      </w:r>
      <w:r>
        <w:rPr>
          <w:rFonts w:ascii="宋体" w:hAnsi="宋体" w:cs="宋体"/>
        </w:rPr>
        <w:t>甲方遭受</w:t>
      </w:r>
      <w:r>
        <w:rPr>
          <w:rFonts w:hint="eastAsia" w:ascii="宋体" w:hAnsi="宋体" w:cs="宋体"/>
        </w:rPr>
        <w:t>损失</w:t>
      </w:r>
      <w:r>
        <w:rPr>
          <w:rFonts w:ascii="宋体" w:hAnsi="宋体" w:cs="宋体"/>
        </w:rPr>
        <w:t>或</w:t>
      </w:r>
      <w:r>
        <w:rPr>
          <w:rFonts w:hint="eastAsia" w:ascii="宋体" w:hAnsi="宋体" w:cs="宋体"/>
        </w:rPr>
        <w:t>被</w:t>
      </w:r>
      <w:r>
        <w:rPr>
          <w:rFonts w:ascii="宋体" w:hAnsi="宋体" w:cs="宋体"/>
        </w:rPr>
        <w:t>索赔的，乙方应</w:t>
      </w:r>
      <w:r>
        <w:rPr>
          <w:rFonts w:ascii="宋体" w:hAnsi="宋体" w:cs="宋体"/>
          <w:kern w:val="2"/>
          <w:szCs w:val="21"/>
        </w:rPr>
        <w:t>承担甲方为此而支付的赔偿费用、诉讼费用、律师费用、鉴定费用、差旅住宿等全部费用。</w:t>
      </w:r>
      <w:r>
        <w:rPr>
          <w:rFonts w:hint="eastAsia" w:ascii="宋体" w:hAnsi="宋体" w:cs="宋体"/>
          <w:kern w:val="2"/>
          <w:szCs w:val="21"/>
        </w:rPr>
        <w:t>乙方同意，上述费用和侵权赔偿可以从乙方的工资报酬或甲方应付给乙方的费用中扣除</w:t>
      </w:r>
      <w:r>
        <w:rPr>
          <w:rFonts w:hint="eastAsia" w:ascii="宋体" w:hAnsi="宋体" w:cs="宋体"/>
          <w:szCs w:val="21"/>
        </w:rPr>
        <w:t>。</w:t>
      </w:r>
    </w:p>
    <w:p w14:paraId="421B3C45">
      <w:pPr>
        <w:pStyle w:val="59"/>
        <w:widowControl w:val="0"/>
        <w:wordWrap w:val="0"/>
        <w:spacing w:line="400" w:lineRule="exact"/>
        <w:ind w:firstLine="422"/>
        <w:rPr>
          <w:rFonts w:ascii="宋体" w:hAnsi="宋体" w:cs="宋体"/>
          <w:szCs w:val="21"/>
        </w:rPr>
      </w:pPr>
      <w:r>
        <w:rPr>
          <w:rFonts w:hint="eastAsia" w:ascii="宋体" w:hAnsi="宋体" w:cs="宋体"/>
          <w:b/>
          <w:bCs/>
          <w:szCs w:val="21"/>
        </w:rPr>
        <w:t>六、争议的解决办法</w:t>
      </w:r>
    </w:p>
    <w:p w14:paraId="118FE54B">
      <w:pPr>
        <w:pStyle w:val="59"/>
        <w:widowControl w:val="0"/>
        <w:wordWrap w:val="0"/>
        <w:spacing w:line="400" w:lineRule="exact"/>
        <w:ind w:firstLine="420"/>
        <w:rPr>
          <w:rFonts w:ascii="宋体" w:hAnsi="宋体" w:cs="宋体"/>
          <w:szCs w:val="21"/>
        </w:rPr>
      </w:pPr>
      <w:r>
        <w:rPr>
          <w:rFonts w:hint="eastAsia" w:ascii="宋体" w:hAnsi="宋体" w:cs="宋体"/>
          <w:szCs w:val="21"/>
        </w:rPr>
        <w:t>因本协议引起的争议，双方应协商解决；协商不成的，任何一方均有权向甲方</w:t>
      </w:r>
      <w:r>
        <w:rPr>
          <w:rFonts w:ascii="宋体" w:hAnsi="宋体" w:cs="宋体"/>
          <w:szCs w:val="21"/>
        </w:rPr>
        <w:t>所在地</w:t>
      </w:r>
      <w:r>
        <w:rPr>
          <w:rFonts w:hint="eastAsia" w:ascii="宋体" w:hAnsi="宋体" w:cs="宋体"/>
          <w:szCs w:val="21"/>
        </w:rPr>
        <w:t>劳动争议仲裁委员会申请仲裁。</w:t>
      </w:r>
    </w:p>
    <w:p w14:paraId="05ABB790">
      <w:pPr>
        <w:pStyle w:val="59"/>
        <w:widowControl w:val="0"/>
        <w:wordWrap w:val="0"/>
        <w:spacing w:line="400" w:lineRule="exact"/>
        <w:ind w:firstLine="422"/>
        <w:rPr>
          <w:rFonts w:ascii="宋体" w:hAnsi="宋体" w:cs="宋体"/>
          <w:szCs w:val="21"/>
        </w:rPr>
      </w:pPr>
      <w:r>
        <w:rPr>
          <w:rFonts w:hint="eastAsia" w:ascii="宋体" w:hAnsi="宋体" w:cs="宋体"/>
          <w:b/>
          <w:bCs/>
          <w:szCs w:val="21"/>
        </w:rPr>
        <w:t>七、协议的效力和变更</w:t>
      </w:r>
    </w:p>
    <w:p w14:paraId="59C88132">
      <w:pPr>
        <w:pStyle w:val="59"/>
        <w:widowControl w:val="0"/>
        <w:wordWrap w:val="0"/>
        <w:spacing w:line="400" w:lineRule="exact"/>
        <w:ind w:firstLine="420"/>
        <w:rPr>
          <w:rFonts w:ascii="宋体" w:hAnsi="宋体" w:cs="宋体"/>
          <w:szCs w:val="21"/>
        </w:rPr>
      </w:pPr>
      <w:r>
        <w:rPr>
          <w:rFonts w:hint="eastAsia" w:ascii="宋体" w:hAnsi="宋体" w:cs="宋体"/>
          <w:szCs w:val="21"/>
        </w:rPr>
        <w:t>本协议的任何修改必须经过双方的书面同意，协议的部分修改或部分无效并不影响其他部分的效力。</w:t>
      </w:r>
    </w:p>
    <w:p w14:paraId="7992682F">
      <w:pPr>
        <w:pStyle w:val="59"/>
        <w:widowControl w:val="0"/>
        <w:wordWrap w:val="0"/>
        <w:spacing w:line="400" w:lineRule="exact"/>
        <w:ind w:firstLine="420"/>
        <w:rPr>
          <w:rFonts w:ascii="宋体" w:hAnsi="宋体" w:cs="宋体"/>
          <w:szCs w:val="21"/>
        </w:rPr>
      </w:pPr>
      <w:r>
        <w:rPr>
          <w:rFonts w:hint="eastAsia" w:ascii="宋体" w:hAnsi="宋体" w:cs="宋体"/>
          <w:szCs w:val="21"/>
        </w:rPr>
        <w:t>双方确认在签署本协议前已经详细审阅过协议内容，并了解协议各条款的法律含义。</w:t>
      </w:r>
    </w:p>
    <w:p w14:paraId="4AA0C352">
      <w:pPr>
        <w:pStyle w:val="59"/>
        <w:widowControl w:val="0"/>
        <w:wordWrap w:val="0"/>
        <w:spacing w:line="400" w:lineRule="exact"/>
        <w:ind w:firstLine="420"/>
        <w:rPr>
          <w:rFonts w:ascii="宋体" w:hAnsi="宋体" w:cs="宋体"/>
          <w:szCs w:val="21"/>
        </w:rPr>
      </w:pPr>
      <w:r>
        <w:rPr>
          <w:rFonts w:hint="eastAsia" w:ascii="宋体" w:hAnsi="宋体" w:cs="宋体"/>
          <w:szCs w:val="21"/>
        </w:rPr>
        <w:t>本协议一式二份，甲方乙方各执一份，协议自双方签订之日起生效。（以下无正文）</w:t>
      </w:r>
    </w:p>
    <w:p w14:paraId="3C225AFE">
      <w:pPr>
        <w:pStyle w:val="59"/>
        <w:spacing w:line="400" w:lineRule="exact"/>
        <w:ind w:firstLine="420"/>
        <w:rPr>
          <w:rFonts w:ascii="宋体" w:hAnsi="宋体" w:cs="宋体"/>
          <w:szCs w:val="21"/>
        </w:rPr>
      </w:pPr>
    </w:p>
    <w:p w14:paraId="37261594">
      <w:pPr>
        <w:pStyle w:val="59"/>
        <w:spacing w:line="400" w:lineRule="exact"/>
        <w:ind w:firstLine="420"/>
        <w:rPr>
          <w:rFonts w:ascii="宋体" w:hAnsi="宋体" w:cs="宋体"/>
          <w:szCs w:val="21"/>
        </w:rPr>
      </w:pPr>
      <w:r>
        <w:rPr>
          <w:rFonts w:hint="eastAsia" w:ascii="宋体" w:hAnsi="宋体" w:cs="宋体"/>
          <w:szCs w:val="21"/>
        </w:rPr>
        <w:t>甲方：(盖章)</w:t>
      </w:r>
    </w:p>
    <w:p w14:paraId="2EBF5E25">
      <w:pPr>
        <w:pStyle w:val="59"/>
        <w:spacing w:line="400" w:lineRule="exact"/>
        <w:ind w:firstLine="420"/>
        <w:rPr>
          <w:rFonts w:ascii="宋体" w:hAnsi="宋体" w:cs="宋体"/>
          <w:szCs w:val="21"/>
        </w:rPr>
      </w:pPr>
      <w:r>
        <w:rPr>
          <w:rFonts w:hint="eastAsia" w:ascii="宋体" w:hAnsi="宋体" w:cs="宋体"/>
          <w:szCs w:val="21"/>
        </w:rPr>
        <w:t>法定代表人：（签字）</w:t>
      </w:r>
    </w:p>
    <w:p w14:paraId="5DEDD916">
      <w:pPr>
        <w:pStyle w:val="59"/>
        <w:spacing w:line="400" w:lineRule="exact"/>
        <w:ind w:firstLine="420"/>
        <w:rPr>
          <w:rFonts w:ascii="宋体" w:hAnsi="宋体" w:cs="宋体"/>
          <w:szCs w:val="21"/>
        </w:rPr>
      </w:pPr>
      <w:r>
        <w:rPr>
          <w:rFonts w:hint="eastAsia" w:ascii="宋体" w:hAnsi="宋体" w:cs="宋体"/>
          <w:szCs w:val="21"/>
        </w:rPr>
        <w:t>签署日期：   年   月   日</w:t>
      </w:r>
    </w:p>
    <w:p w14:paraId="4BD47BD7">
      <w:pPr>
        <w:pStyle w:val="59"/>
        <w:spacing w:line="400" w:lineRule="exact"/>
        <w:ind w:firstLine="420"/>
        <w:rPr>
          <w:rFonts w:ascii="宋体" w:hAnsi="宋体" w:cs="宋体"/>
          <w:szCs w:val="21"/>
        </w:rPr>
      </w:pPr>
      <w:r>
        <w:rPr>
          <w:rFonts w:hint="eastAsia" w:ascii="宋体" w:hAnsi="宋体" w:cs="宋体"/>
          <w:szCs w:val="21"/>
        </w:rPr>
        <w:t>乙方：(签字)</w:t>
      </w:r>
    </w:p>
    <w:p w14:paraId="6DE84344">
      <w:pPr>
        <w:pStyle w:val="59"/>
        <w:spacing w:line="400" w:lineRule="exact"/>
        <w:ind w:firstLine="420"/>
        <w:rPr>
          <w:rFonts w:ascii="宋体" w:hAnsi="宋体" w:cs="宋体"/>
          <w:szCs w:val="21"/>
        </w:rPr>
      </w:pPr>
      <w:r>
        <w:rPr>
          <w:rFonts w:hint="eastAsia" w:ascii="宋体" w:hAnsi="宋体" w:cs="宋体"/>
          <w:szCs w:val="21"/>
        </w:rPr>
        <w:t>身份证号：</w:t>
      </w:r>
    </w:p>
    <w:p w14:paraId="7587C10F">
      <w:pPr>
        <w:pStyle w:val="59"/>
        <w:spacing w:line="400" w:lineRule="exact"/>
        <w:ind w:firstLine="420"/>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type="lines" w:linePitch="312" w:charSpace="0"/>
        </w:sectPr>
      </w:pPr>
      <w:r>
        <w:rPr>
          <w:rFonts w:hint="eastAsia" w:ascii="宋体" w:hAnsi="宋体" w:cs="宋体"/>
          <w:szCs w:val="21"/>
        </w:rPr>
        <w:t>签署日期：    年   月   日</w:t>
      </w:r>
    </w:p>
    <w:p w14:paraId="0728EEAE">
      <w:pPr>
        <w:pStyle w:val="201"/>
      </w:pPr>
    </w:p>
    <w:p w14:paraId="1C2F2132">
      <w:pPr>
        <w:pStyle w:val="202"/>
      </w:pPr>
    </w:p>
    <w:p w14:paraId="74671D98">
      <w:pPr>
        <w:pStyle w:val="79"/>
        <w:spacing w:after="156"/>
        <w:rPr>
          <w:rFonts w:ascii="宋体" w:hAnsi="宋体" w:eastAsia="宋体" w:cs="宋体"/>
          <w:b/>
          <w:bCs/>
          <w:sz w:val="18"/>
          <w:szCs w:val="18"/>
        </w:rPr>
      </w:pPr>
      <w:bookmarkStart w:id="361" w:name="_Toc4728"/>
      <w:bookmarkStart w:id="362" w:name="_Toc3518"/>
      <w:r>
        <w:br w:type="textWrapping"/>
      </w:r>
      <w:bookmarkStart w:id="363" w:name="_Toc214009871"/>
      <w:bookmarkStart w:id="364" w:name="_Toc214009904"/>
      <w:bookmarkStart w:id="365" w:name="_Toc219723720"/>
      <w:r>
        <w:rPr>
          <w:rFonts w:hint="eastAsia"/>
        </w:rPr>
        <w:t>（资料性）</w:t>
      </w:r>
      <w:r>
        <w:rPr>
          <w:rFonts w:hint="eastAsia"/>
        </w:rPr>
        <w:br w:type="textWrapping"/>
      </w:r>
      <w:r>
        <w:rPr>
          <w:rFonts w:hint="eastAsia"/>
        </w:rPr>
        <w:t>竞业限制协议</w:t>
      </w:r>
      <w:bookmarkEnd w:id="361"/>
      <w:bookmarkEnd w:id="362"/>
      <w:bookmarkEnd w:id="363"/>
      <w:bookmarkEnd w:id="364"/>
      <w:bookmarkEnd w:id="365"/>
    </w:p>
    <w:p w14:paraId="543D5618">
      <w:pPr>
        <w:pStyle w:val="59"/>
        <w:spacing w:line="400" w:lineRule="exact"/>
        <w:ind w:firstLine="420"/>
        <w:rPr>
          <w:rFonts w:ascii="宋体" w:hAnsi="宋体" w:cs="宋体"/>
          <w:szCs w:val="21"/>
        </w:rPr>
      </w:pPr>
      <w:r>
        <w:rPr>
          <w:rFonts w:hint="eastAsia" w:ascii="宋体" w:hAnsi="宋体" w:cs="宋体"/>
          <w:szCs w:val="21"/>
        </w:rPr>
        <w:t xml:space="preserve">甲方（用人单位、披露方）：                            </w:t>
      </w:r>
    </w:p>
    <w:p w14:paraId="40066DFE">
      <w:pPr>
        <w:pStyle w:val="59"/>
        <w:spacing w:line="400" w:lineRule="exact"/>
        <w:ind w:firstLine="420"/>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 xml:space="preserve"> 统一社会信用代码：</w:t>
      </w:r>
      <w:r>
        <w:rPr>
          <w:rFonts w:hint="eastAsia" w:ascii="宋体" w:hAnsi="宋体" w:cs="宋体"/>
          <w:szCs w:val="21"/>
          <w:u w:val="single"/>
        </w:rPr>
        <w:t xml:space="preserve">              </w:t>
      </w:r>
    </w:p>
    <w:p w14:paraId="12F8FED2">
      <w:pPr>
        <w:pStyle w:val="59"/>
        <w:spacing w:line="400" w:lineRule="exact"/>
        <w:ind w:firstLine="42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r>
        <w:rPr>
          <w:rFonts w:hint="eastAsia" w:ascii="宋体" w:hAnsi="宋体" w:cs="宋体"/>
          <w:szCs w:val="21"/>
        </w:rPr>
        <w:t xml:space="preserve">      </w:t>
      </w:r>
    </w:p>
    <w:p w14:paraId="422C98AA">
      <w:pPr>
        <w:pStyle w:val="59"/>
        <w:spacing w:line="400" w:lineRule="exact"/>
        <w:ind w:firstLine="42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14:paraId="1A78DCC0">
      <w:pPr>
        <w:pStyle w:val="59"/>
        <w:spacing w:line="400" w:lineRule="exact"/>
        <w:ind w:firstLine="420"/>
        <w:rPr>
          <w:rFonts w:ascii="宋体" w:hAnsi="宋体" w:cs="宋体"/>
          <w:szCs w:val="21"/>
        </w:rPr>
      </w:pPr>
    </w:p>
    <w:p w14:paraId="76204737">
      <w:pPr>
        <w:pStyle w:val="59"/>
        <w:spacing w:line="400" w:lineRule="exact"/>
        <w:ind w:firstLine="420"/>
        <w:rPr>
          <w:rFonts w:ascii="宋体" w:hAnsi="宋体" w:cs="宋体"/>
          <w:szCs w:val="21"/>
          <w:u w:val="single"/>
        </w:rPr>
      </w:pPr>
      <w:r>
        <w:rPr>
          <w:rFonts w:hint="eastAsia" w:ascii="宋体" w:hAnsi="宋体" w:cs="宋体"/>
          <w:szCs w:val="21"/>
        </w:rPr>
        <w:t>乙方（劳动者、接受方）：</w:t>
      </w:r>
      <w:r>
        <w:rPr>
          <w:rFonts w:hint="eastAsia" w:ascii="宋体" w:hAnsi="宋体" w:cs="宋体"/>
          <w:szCs w:val="21"/>
          <w:u w:val="single"/>
        </w:rPr>
        <w:t xml:space="preserve">                             </w:t>
      </w:r>
    </w:p>
    <w:p w14:paraId="7F1A245C">
      <w:pPr>
        <w:pStyle w:val="59"/>
        <w:spacing w:line="400" w:lineRule="exact"/>
        <w:ind w:firstLine="420"/>
        <w:rPr>
          <w:rFonts w:ascii="宋体" w:hAnsi="宋体" w:cs="宋体"/>
          <w:szCs w:val="21"/>
          <w:u w:val="single"/>
        </w:rPr>
      </w:pPr>
      <w:r>
        <w:rPr>
          <w:rFonts w:hint="eastAsia" w:ascii="宋体" w:hAnsi="宋体" w:cs="宋体"/>
          <w:szCs w:val="21"/>
        </w:rPr>
        <w:t>居民身份证号码：</w:t>
      </w:r>
      <w:r>
        <w:rPr>
          <w:rFonts w:hint="eastAsia" w:ascii="宋体" w:hAnsi="宋体" w:cs="宋体"/>
          <w:szCs w:val="21"/>
          <w:u w:val="single"/>
        </w:rPr>
        <w:t xml:space="preserve">                                    </w:t>
      </w:r>
    </w:p>
    <w:p w14:paraId="6E475738">
      <w:pPr>
        <w:pStyle w:val="59"/>
        <w:spacing w:line="400" w:lineRule="exact"/>
        <w:ind w:firstLine="42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14:paraId="5836040F">
      <w:pPr>
        <w:pStyle w:val="59"/>
        <w:spacing w:line="400" w:lineRule="exact"/>
        <w:ind w:firstLine="420"/>
        <w:rPr>
          <w:rFonts w:ascii="宋体" w:hAnsi="宋体" w:cs="宋体"/>
          <w:szCs w:val="21"/>
        </w:rPr>
      </w:pPr>
      <w:r>
        <w:rPr>
          <w:rFonts w:hint="eastAsia" w:ascii="宋体" w:hAnsi="宋体" w:cs="宋体"/>
          <w:szCs w:val="21"/>
        </w:rPr>
        <w:t>住址：</w:t>
      </w:r>
      <w:r>
        <w:rPr>
          <w:rFonts w:hint="eastAsia" w:ascii="宋体" w:hAnsi="宋体" w:cs="宋体"/>
          <w:szCs w:val="21"/>
          <w:u w:val="single"/>
        </w:rPr>
        <w:t xml:space="preserve">                                              </w:t>
      </w:r>
    </w:p>
    <w:p w14:paraId="374D487A">
      <w:pPr>
        <w:pStyle w:val="59"/>
        <w:spacing w:line="400" w:lineRule="exact"/>
        <w:ind w:firstLine="420"/>
        <w:rPr>
          <w:rFonts w:ascii="宋体" w:hAnsi="宋体" w:cs="宋体"/>
          <w:szCs w:val="21"/>
        </w:rPr>
      </w:pPr>
    </w:p>
    <w:p w14:paraId="0AF5964A">
      <w:pPr>
        <w:pStyle w:val="59"/>
        <w:spacing w:line="400" w:lineRule="exact"/>
        <w:ind w:firstLine="420"/>
        <w:rPr>
          <w:rFonts w:ascii="宋体" w:hAnsi="宋体" w:cs="宋体"/>
          <w:szCs w:val="21"/>
        </w:rPr>
      </w:pPr>
      <w:r>
        <w:rPr>
          <w:rFonts w:hint="eastAsia" w:ascii="宋体" w:hAnsi="宋体" w:cs="宋体"/>
          <w:szCs w:val="21"/>
        </w:rPr>
        <w:t>甲、乙双方根据《中华人民共和国反不正当竞争法》《中华人民共和国公司法》《中华人民共和国劳动合同法》及国家、地方有关规定，双方本着平等自愿、协商一致、诚实守信的原则，就竞业限制事宜，于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日（以下简称“生效日”）在中华人民共和国</w:t>
      </w:r>
      <w:r>
        <w:rPr>
          <w:rFonts w:hint="eastAsia" w:ascii="宋体" w:hAnsi="宋体" w:cs="宋体"/>
          <w:szCs w:val="21"/>
          <w:u w:val="single"/>
        </w:rPr>
        <w:t xml:space="preserve">                        </w:t>
      </w:r>
      <w:r>
        <w:rPr>
          <w:rFonts w:hint="eastAsia" w:ascii="宋体" w:hAnsi="宋体" w:cs="宋体"/>
          <w:szCs w:val="21"/>
        </w:rPr>
        <w:t>（具体签署地址）签署本协议以共同执行：</w:t>
      </w:r>
    </w:p>
    <w:p w14:paraId="55F5B11C">
      <w:pPr>
        <w:pStyle w:val="59"/>
        <w:spacing w:line="400" w:lineRule="exact"/>
        <w:ind w:firstLine="422"/>
        <w:rPr>
          <w:rFonts w:ascii="宋体" w:hAnsi="宋体" w:cs="宋体"/>
          <w:b/>
          <w:bCs/>
          <w:szCs w:val="21"/>
        </w:rPr>
      </w:pPr>
      <w:r>
        <w:rPr>
          <w:rFonts w:hint="eastAsia" w:ascii="宋体" w:hAnsi="宋体" w:cs="宋体"/>
          <w:b/>
          <w:bCs/>
          <w:szCs w:val="21"/>
        </w:rPr>
        <w:t>第一条 合同目的描述</w:t>
      </w:r>
    </w:p>
    <w:p w14:paraId="6B466EDF">
      <w:pPr>
        <w:pStyle w:val="59"/>
        <w:spacing w:line="400" w:lineRule="exact"/>
        <w:ind w:firstLine="420"/>
        <w:rPr>
          <w:rFonts w:ascii="宋体" w:hAnsi="宋体" w:cs="宋体"/>
          <w:szCs w:val="21"/>
        </w:rPr>
      </w:pPr>
      <w:r>
        <w:rPr>
          <w:rFonts w:hint="eastAsia" w:ascii="宋体" w:hAnsi="宋体" w:cs="宋体"/>
          <w:szCs w:val="21"/>
        </w:rPr>
        <w:t>乙方了解甲方就其产品、研发、制造、营销、管理、客户、计算机（程序）、营运模式等业务及相关技术、服务投入庞大资金及人力物力，享有经济效益及商誉，乙方若未履行或违反本协议规定，将对甲方投资、经营、商誉或经济权益产生不利影响，甚至产生直接或间接损害，构成不公平竞争，影响产业公平秩序等，甲方将依据中华人民共和国相关法律法规等追究其相应法律责任。</w:t>
      </w:r>
    </w:p>
    <w:p w14:paraId="7445BEA4">
      <w:pPr>
        <w:pStyle w:val="59"/>
        <w:spacing w:line="400" w:lineRule="exact"/>
        <w:ind w:firstLine="422"/>
        <w:rPr>
          <w:rFonts w:ascii="宋体" w:hAnsi="宋体" w:cs="宋体"/>
          <w:b/>
          <w:bCs/>
          <w:szCs w:val="21"/>
        </w:rPr>
      </w:pPr>
      <w:r>
        <w:rPr>
          <w:rFonts w:hint="eastAsia" w:ascii="宋体" w:hAnsi="宋体" w:cs="宋体"/>
          <w:b/>
          <w:bCs/>
          <w:szCs w:val="21"/>
        </w:rPr>
        <w:t>第二条 竞业限制义务</w:t>
      </w:r>
    </w:p>
    <w:p w14:paraId="7767C04A">
      <w:pPr>
        <w:pStyle w:val="59"/>
        <w:spacing w:line="400" w:lineRule="exact"/>
        <w:ind w:firstLine="422"/>
        <w:rPr>
          <w:rFonts w:ascii="宋体" w:hAnsi="宋体" w:cs="宋体"/>
          <w:b/>
          <w:bCs/>
          <w:szCs w:val="21"/>
        </w:rPr>
      </w:pPr>
      <w:r>
        <w:rPr>
          <w:rFonts w:hint="eastAsia" w:ascii="宋体" w:hAnsi="宋体" w:cs="宋体"/>
          <w:b/>
          <w:bCs/>
          <w:szCs w:val="21"/>
        </w:rPr>
        <w:t>（一）乙方承诺在竞业限制期间：</w:t>
      </w:r>
    </w:p>
    <w:p w14:paraId="53B5E561">
      <w:pPr>
        <w:pStyle w:val="59"/>
        <w:spacing w:line="400" w:lineRule="exact"/>
        <w:ind w:firstLine="420"/>
        <w:rPr>
          <w:rFonts w:ascii="宋体" w:hAnsi="宋体" w:cs="宋体"/>
          <w:szCs w:val="21"/>
        </w:rPr>
      </w:pPr>
      <w:r>
        <w:rPr>
          <w:rFonts w:hint="eastAsia" w:ascii="宋体" w:hAnsi="宋体" w:cs="宋体"/>
          <w:szCs w:val="21"/>
        </w:rPr>
        <w:t>1.未经甲方同意，乙方在甲方任职期间及乙方在劳动关系解除或终止后</w:t>
      </w:r>
      <w:r>
        <w:rPr>
          <w:rFonts w:hint="eastAsia" w:ascii="宋体" w:hAnsi="宋体" w:cs="宋体"/>
          <w:szCs w:val="21"/>
          <w:u w:val="single"/>
        </w:rPr>
        <w:t xml:space="preserve">        </w:t>
      </w:r>
      <w:r>
        <w:rPr>
          <w:rFonts w:hint="eastAsia" w:ascii="宋体" w:hAnsi="宋体" w:cs="宋体"/>
          <w:szCs w:val="21"/>
        </w:rPr>
        <w:t xml:space="preserve">年（不超过二年）内，不得到 </w:t>
      </w:r>
      <w:r>
        <w:rPr>
          <w:rFonts w:hint="eastAsia" w:ascii="宋体" w:hAnsi="宋体" w:cs="宋体"/>
          <w:szCs w:val="21"/>
          <w:u w:val="single"/>
        </w:rPr>
        <w:t xml:space="preserve">           </w:t>
      </w:r>
      <w:r>
        <w:rPr>
          <w:rFonts w:hint="eastAsia" w:ascii="宋体" w:hAnsi="宋体" w:cs="宋体"/>
          <w:szCs w:val="21"/>
        </w:rPr>
        <w:t>（具体竞业限制区域）内与甲方生产或者经营同类产品、从事同类业务的有竞争关系的其他用人单位任职、兼职或提供服务；不得自己、帮助他人或通过亲属、朋友开业生产、经营或以合伙、投资、参股等形式经营甲方同类产品、从事同类业务；不抢夺甲方的客户，或劝说、诱使、胁迫甲方客户断绝与甲方业务关系。</w:t>
      </w:r>
    </w:p>
    <w:p w14:paraId="224C1C7E">
      <w:pPr>
        <w:pStyle w:val="59"/>
        <w:spacing w:line="400" w:lineRule="exact"/>
        <w:ind w:firstLine="420"/>
        <w:rPr>
          <w:rFonts w:ascii="宋体" w:hAnsi="宋体" w:cs="宋体"/>
          <w:szCs w:val="21"/>
        </w:rPr>
      </w:pPr>
      <w:r>
        <w:rPr>
          <w:rFonts w:hint="eastAsia" w:ascii="宋体" w:hAnsi="宋体" w:cs="宋体"/>
          <w:szCs w:val="21"/>
        </w:rPr>
        <w:t>2.乙方为证明在竞业限制期限内已履行了竞业限制义务，自乙方在劳动关系解除或终止起每        月内（第一次提交时间是劳动关系解除或终止后1个月内），应及时向甲方提交下列证明材料，以证明自己履行了竞业限制协议约定的义务：</w:t>
      </w:r>
    </w:p>
    <w:p w14:paraId="2D29A4DF">
      <w:pPr>
        <w:pStyle w:val="59"/>
        <w:spacing w:line="400" w:lineRule="exact"/>
        <w:ind w:firstLine="420"/>
        <w:rPr>
          <w:rFonts w:ascii="宋体" w:hAnsi="宋体" w:cs="宋体"/>
          <w:szCs w:val="21"/>
        </w:rPr>
      </w:pPr>
      <w:r>
        <w:rPr>
          <w:rFonts w:hint="eastAsia" w:ascii="宋体" w:hAnsi="宋体" w:cs="宋体"/>
          <w:szCs w:val="21"/>
        </w:rPr>
        <w:t>（1）从甲方离职后，与新的单位签订的劳动合同，或者能够证明与新的单位存在劳动关系的其他证据；</w:t>
      </w:r>
    </w:p>
    <w:p w14:paraId="35F565BD">
      <w:pPr>
        <w:pStyle w:val="59"/>
        <w:spacing w:line="400" w:lineRule="exact"/>
        <w:ind w:firstLine="420"/>
        <w:rPr>
          <w:rFonts w:ascii="宋体" w:hAnsi="宋体" w:cs="宋体"/>
          <w:szCs w:val="21"/>
        </w:rPr>
      </w:pPr>
      <w:r>
        <w:rPr>
          <w:rFonts w:hint="eastAsia" w:ascii="宋体" w:hAnsi="宋体" w:cs="宋体"/>
          <w:szCs w:val="21"/>
        </w:rPr>
        <w:t>（2）新的单位为该乙方缴纳社会保险的证明；</w:t>
      </w:r>
    </w:p>
    <w:p w14:paraId="0BDFA0AA">
      <w:pPr>
        <w:pStyle w:val="59"/>
        <w:spacing w:line="400" w:lineRule="exact"/>
        <w:ind w:firstLine="420"/>
        <w:rPr>
          <w:rFonts w:ascii="宋体" w:hAnsi="宋体" w:cs="宋体"/>
          <w:szCs w:val="21"/>
        </w:rPr>
      </w:pPr>
      <w:r>
        <w:rPr>
          <w:rFonts w:hint="eastAsia" w:ascii="宋体" w:hAnsi="宋体" w:cs="宋体"/>
          <w:szCs w:val="21"/>
        </w:rPr>
        <w:t>（3）或当乙方为自由职业或无业状态，无法提供上述（1）、（2）项证明时，可由其所在街道办事处、居委会（村委会）或其它公证机构出具的关于乙方的从业情况的证明，证明文件应注明联系人及联系方式。</w:t>
      </w:r>
    </w:p>
    <w:p w14:paraId="029B147C">
      <w:pPr>
        <w:pStyle w:val="59"/>
        <w:spacing w:line="400" w:lineRule="exact"/>
        <w:ind w:firstLine="420"/>
        <w:rPr>
          <w:rFonts w:ascii="宋体" w:hAnsi="宋体" w:cs="宋体"/>
          <w:szCs w:val="21"/>
        </w:rPr>
      </w:pPr>
      <w:r>
        <w:rPr>
          <w:rFonts w:hint="eastAsia" w:ascii="宋体" w:hAnsi="宋体" w:cs="宋体"/>
          <w:szCs w:val="21"/>
        </w:rPr>
        <w:t>3.不得利用其甲方股东等身份以任何不正当手段获取利益，不得利用在甲方的地位和职权为自己谋取私利。</w:t>
      </w:r>
    </w:p>
    <w:p w14:paraId="1487D2C0">
      <w:pPr>
        <w:pStyle w:val="59"/>
        <w:spacing w:line="400" w:lineRule="exact"/>
        <w:ind w:firstLine="420"/>
        <w:rPr>
          <w:rFonts w:ascii="宋体" w:hAnsi="宋体" w:cs="宋体"/>
          <w:szCs w:val="21"/>
        </w:rPr>
      </w:pPr>
      <w:r>
        <w:rPr>
          <w:rFonts w:hint="eastAsia" w:ascii="宋体" w:hAnsi="宋体" w:cs="宋体"/>
          <w:szCs w:val="21"/>
        </w:rPr>
        <w:t>4.不得直接或间接拥有、管理、经营、控制，或参与拥有、管理、经营或控制或其他任何形式（包括但不限于在某一实体中持有权益、对其进行投资、拥有其管理责任，或收购其股票或股权，或与该实体订立许可协议或其他合同安排，但通过证券交易所买卖上市公司不超过发行在外的上市公司股票3%的股票的行为除外）从而在竞争性区域内从事与任何在种类和性质上与甲方经营业务相类似或相竞争的业务。</w:t>
      </w:r>
    </w:p>
    <w:p w14:paraId="06B2694D">
      <w:pPr>
        <w:pStyle w:val="59"/>
        <w:spacing w:line="400" w:lineRule="exact"/>
        <w:ind w:firstLine="420"/>
        <w:rPr>
          <w:rFonts w:ascii="宋体" w:hAnsi="宋体" w:cs="宋体"/>
          <w:szCs w:val="21"/>
        </w:rPr>
      </w:pPr>
      <w:r>
        <w:rPr>
          <w:rFonts w:hint="eastAsia" w:ascii="宋体" w:hAnsi="宋体" w:cs="宋体"/>
          <w:szCs w:val="21"/>
        </w:rPr>
        <w:t>5.不得在竞争性单位或与甲方有直接经济往来的公司、企业、其他经济组织和社会团体内接受或取得任何职务（包括不限于合伙人、董事、监事、股东、经理、职员、代理人、顾问等），或向该类竞争性单位提供任何咨询服务（无论是否有偿）或其他协助。</w:t>
      </w:r>
    </w:p>
    <w:p w14:paraId="0FCA24BF">
      <w:pPr>
        <w:pStyle w:val="59"/>
        <w:spacing w:line="400" w:lineRule="exact"/>
        <w:ind w:firstLine="420"/>
        <w:rPr>
          <w:rFonts w:ascii="宋体" w:hAnsi="宋体" w:cs="宋体"/>
          <w:szCs w:val="21"/>
        </w:rPr>
      </w:pPr>
      <w:r>
        <w:rPr>
          <w:rFonts w:hint="eastAsia" w:ascii="宋体" w:hAnsi="宋体" w:cs="宋体"/>
          <w:szCs w:val="21"/>
        </w:rPr>
        <w:t>6.不得利用股东等身份做出任何不利于甲方的交易或安排；不以任何方式从事可能对甲方经营、发展产生不利影响的业务及活动，包括但不限于：利用现有社会及客户资源阻碍或限制甲方的独立发展；对外散布不利于甲方的消息或信息；利用知悉或获取的甲方信息直接或间接实施或参与任何可能损害甲方权益的行为。</w:t>
      </w:r>
    </w:p>
    <w:p w14:paraId="38DFB4A7">
      <w:pPr>
        <w:pStyle w:val="59"/>
        <w:spacing w:line="400" w:lineRule="exact"/>
        <w:ind w:firstLine="420"/>
        <w:rPr>
          <w:rFonts w:ascii="宋体" w:hAnsi="宋体" w:cs="宋体"/>
          <w:szCs w:val="21"/>
        </w:rPr>
      </w:pPr>
      <w:r>
        <w:rPr>
          <w:rFonts w:hint="eastAsia" w:ascii="宋体" w:hAnsi="宋体" w:cs="宋体"/>
          <w:szCs w:val="21"/>
        </w:rPr>
        <w:t>7.不得拉拢、引诱或鼓动甲方的雇员离职，且不得自行或协助包括但不限于在生产、经营或销售等领域与甲方经营业务相同或相似之经济实体招聘从甲方离职之人员。</w:t>
      </w:r>
    </w:p>
    <w:p w14:paraId="7AE26D9B">
      <w:pPr>
        <w:pStyle w:val="59"/>
        <w:spacing w:line="400" w:lineRule="exact"/>
        <w:ind w:firstLine="420"/>
        <w:rPr>
          <w:rFonts w:ascii="宋体" w:hAnsi="宋体" w:cs="宋体"/>
          <w:szCs w:val="21"/>
        </w:rPr>
      </w:pPr>
      <w:r>
        <w:rPr>
          <w:rFonts w:hint="eastAsia" w:ascii="宋体" w:hAnsi="宋体" w:cs="宋体"/>
          <w:szCs w:val="21"/>
        </w:rPr>
        <w:t>8.不得在包括但不限于生产、经营或销售等领域与甲方之包括但不限于原料供应商、产品销售商等各种业务伙伴进行与甲方存在竞争之活动。</w:t>
      </w:r>
    </w:p>
    <w:p w14:paraId="6ACB1E0E">
      <w:pPr>
        <w:pStyle w:val="59"/>
        <w:spacing w:line="400" w:lineRule="exact"/>
        <w:ind w:firstLine="420"/>
        <w:rPr>
          <w:rFonts w:ascii="宋体" w:hAnsi="宋体" w:cs="宋体"/>
          <w:szCs w:val="21"/>
        </w:rPr>
      </w:pPr>
      <w:r>
        <w:rPr>
          <w:rFonts w:hint="eastAsia" w:ascii="宋体" w:hAnsi="宋体" w:cs="宋体"/>
          <w:szCs w:val="21"/>
        </w:rPr>
        <w:t>9.不得自行或协助他人使用自己掌握之甲方计划使用、或正在使用之一切公开及或未公开之技术成果、商业秘密，不论其是否获得利益。</w:t>
      </w:r>
    </w:p>
    <w:p w14:paraId="3A6BF7B7">
      <w:pPr>
        <w:pStyle w:val="59"/>
        <w:spacing w:line="400" w:lineRule="exact"/>
        <w:ind w:firstLine="422"/>
        <w:rPr>
          <w:rFonts w:ascii="宋体" w:hAnsi="宋体" w:cs="宋体"/>
          <w:b/>
          <w:bCs/>
          <w:szCs w:val="21"/>
        </w:rPr>
      </w:pPr>
      <w:r>
        <w:rPr>
          <w:rFonts w:hint="eastAsia" w:ascii="宋体" w:hAnsi="宋体" w:cs="宋体"/>
          <w:b/>
          <w:bCs/>
          <w:szCs w:val="21"/>
        </w:rPr>
        <w:t>（二）甲方有权：</w:t>
      </w:r>
    </w:p>
    <w:p w14:paraId="6E9592CB">
      <w:pPr>
        <w:pStyle w:val="59"/>
        <w:spacing w:line="400" w:lineRule="exact"/>
        <w:ind w:firstLine="420"/>
        <w:rPr>
          <w:rFonts w:ascii="宋体" w:hAnsi="宋体" w:cs="宋体"/>
          <w:szCs w:val="21"/>
        </w:rPr>
      </w:pPr>
      <w:r>
        <w:rPr>
          <w:rFonts w:hint="eastAsia" w:ascii="宋体" w:hAnsi="宋体" w:cs="宋体"/>
          <w:szCs w:val="21"/>
        </w:rPr>
        <w:t>1.在双方劳动关系解除或终止时，甲方未以书面方式通知乙方要求其履行竞业限制义务的，本协议竞业限制约定自乙方离职之日起解除，甲方无需向乙方支付竞业限制经济补偿金，乙方也不得以履行了竞业限制义务为由要求甲方支付该经济补偿金。</w:t>
      </w:r>
    </w:p>
    <w:p w14:paraId="360747A7">
      <w:pPr>
        <w:pStyle w:val="59"/>
        <w:spacing w:line="400" w:lineRule="exact"/>
        <w:ind w:firstLine="420"/>
        <w:rPr>
          <w:rFonts w:ascii="宋体" w:hAnsi="宋体" w:cs="宋体"/>
          <w:szCs w:val="21"/>
        </w:rPr>
      </w:pPr>
      <w:r>
        <w:rPr>
          <w:rFonts w:hint="eastAsia" w:ascii="宋体" w:hAnsi="宋体" w:cs="宋体"/>
          <w:szCs w:val="21"/>
        </w:rPr>
        <w:t>2.在乙方遵守竞业限制协议期间，甲方可提前通知乙方并额外支付3个月的竞业限制补偿金后终止本协议。</w:t>
      </w:r>
    </w:p>
    <w:p w14:paraId="2610D75C">
      <w:pPr>
        <w:pStyle w:val="59"/>
        <w:spacing w:line="400" w:lineRule="exact"/>
        <w:ind w:firstLine="422"/>
        <w:rPr>
          <w:rFonts w:ascii="宋体" w:hAnsi="宋体" w:cs="宋体"/>
          <w:b/>
          <w:bCs/>
          <w:szCs w:val="21"/>
        </w:rPr>
      </w:pPr>
    </w:p>
    <w:p w14:paraId="68BA77C7">
      <w:pPr>
        <w:pStyle w:val="59"/>
        <w:spacing w:line="400" w:lineRule="exact"/>
        <w:ind w:firstLine="422"/>
        <w:rPr>
          <w:rFonts w:ascii="宋体" w:hAnsi="宋体" w:cs="宋体"/>
          <w:b/>
          <w:bCs/>
          <w:szCs w:val="21"/>
        </w:rPr>
      </w:pPr>
    </w:p>
    <w:p w14:paraId="73FB22A4">
      <w:pPr>
        <w:pStyle w:val="59"/>
        <w:spacing w:line="400" w:lineRule="exact"/>
        <w:ind w:firstLine="422"/>
        <w:rPr>
          <w:rFonts w:ascii="宋体" w:hAnsi="宋体" w:cs="宋体"/>
          <w:szCs w:val="21"/>
        </w:rPr>
      </w:pPr>
      <w:r>
        <w:rPr>
          <w:rFonts w:hint="eastAsia" w:ascii="宋体" w:hAnsi="宋体" w:cs="宋体"/>
          <w:b/>
          <w:bCs/>
          <w:szCs w:val="21"/>
        </w:rPr>
        <w:t>第三条 竞业限制补偿</w:t>
      </w:r>
    </w:p>
    <w:p w14:paraId="7BDD24FE">
      <w:pPr>
        <w:pStyle w:val="59"/>
        <w:spacing w:line="400" w:lineRule="exact"/>
        <w:ind w:firstLine="420"/>
        <w:rPr>
          <w:rFonts w:ascii="宋体" w:hAnsi="宋体" w:cs="宋体"/>
          <w:szCs w:val="21"/>
        </w:rPr>
      </w:pPr>
      <w:r>
        <w:rPr>
          <w:rFonts w:hint="eastAsia" w:ascii="宋体" w:hAnsi="宋体" w:cs="宋体"/>
          <w:szCs w:val="21"/>
        </w:rPr>
        <w:t>1.在乙方竞业限制期间，甲方每月向乙方按其离职前12个月平均工资（包括年终奖等一切劳动报酬）的</w:t>
      </w:r>
      <w:r>
        <w:rPr>
          <w:rFonts w:hint="eastAsia" w:ascii="宋体" w:hAnsi="宋体" w:cs="宋体"/>
          <w:szCs w:val="21"/>
          <w:u w:val="single"/>
        </w:rPr>
        <w:t xml:space="preserve">     </w:t>
      </w:r>
      <w:r>
        <w:rPr>
          <w:rFonts w:hint="eastAsia" w:ascii="宋体" w:hAnsi="宋体" w:cs="宋体"/>
          <w:szCs w:val="21"/>
        </w:rPr>
        <w:t>%（不得低于30%）的标准支付竞业限制补偿金。</w:t>
      </w:r>
    </w:p>
    <w:p w14:paraId="45EC92A8">
      <w:pPr>
        <w:pStyle w:val="59"/>
        <w:spacing w:line="400" w:lineRule="exact"/>
        <w:ind w:firstLine="420"/>
        <w:rPr>
          <w:rFonts w:ascii="宋体" w:hAnsi="宋体" w:cs="宋体"/>
          <w:szCs w:val="21"/>
        </w:rPr>
      </w:pPr>
      <w:r>
        <w:rPr>
          <w:rFonts w:hint="eastAsia" w:ascii="宋体" w:hAnsi="宋体" w:cs="宋体"/>
          <w:szCs w:val="21"/>
        </w:rPr>
        <w:t>2.支付方式为：补偿费从离职的次月开始，按月支付，由甲方于每月的</w:t>
      </w:r>
      <w:r>
        <w:rPr>
          <w:rFonts w:hint="eastAsia" w:ascii="宋体" w:hAnsi="宋体" w:cs="宋体"/>
          <w:szCs w:val="21"/>
          <w:u w:val="single"/>
        </w:rPr>
        <w:t xml:space="preserve">     </w:t>
      </w:r>
      <w:r>
        <w:rPr>
          <w:rFonts w:hint="eastAsia" w:ascii="宋体" w:hAnsi="宋体" w:cs="宋体"/>
          <w:szCs w:val="21"/>
        </w:rPr>
        <w:t>日通过乙方的银行账户支付。乙方银行账户如下：</w:t>
      </w:r>
    </w:p>
    <w:p w14:paraId="17A062A1">
      <w:pPr>
        <w:pStyle w:val="59"/>
        <w:spacing w:line="400" w:lineRule="exact"/>
        <w:ind w:firstLine="420"/>
        <w:rPr>
          <w:rFonts w:ascii="宋体" w:hAnsi="宋体" w:cs="宋体"/>
          <w:szCs w:val="21"/>
        </w:rPr>
      </w:pPr>
      <w:r>
        <w:rPr>
          <w:rFonts w:hint="eastAsia" w:ascii="宋体" w:hAnsi="宋体" w:cs="宋体"/>
          <w:szCs w:val="21"/>
        </w:rPr>
        <w:t xml:space="preserve">开户名称：               </w:t>
      </w:r>
    </w:p>
    <w:p w14:paraId="55BCF49F">
      <w:pPr>
        <w:pStyle w:val="59"/>
        <w:spacing w:line="400" w:lineRule="exact"/>
        <w:ind w:firstLine="420"/>
        <w:rPr>
          <w:rFonts w:ascii="宋体" w:hAnsi="宋体" w:cs="宋体"/>
          <w:szCs w:val="21"/>
        </w:rPr>
      </w:pPr>
      <w:r>
        <w:rPr>
          <w:rFonts w:hint="eastAsia" w:ascii="宋体" w:hAnsi="宋体" w:cs="宋体"/>
          <w:szCs w:val="21"/>
        </w:rPr>
        <w:t xml:space="preserve">银行账号：               </w:t>
      </w:r>
    </w:p>
    <w:p w14:paraId="2E0CBD9C">
      <w:pPr>
        <w:pStyle w:val="59"/>
        <w:spacing w:line="400" w:lineRule="exact"/>
        <w:ind w:firstLine="420"/>
        <w:rPr>
          <w:rFonts w:ascii="宋体" w:hAnsi="宋体" w:cs="宋体"/>
          <w:szCs w:val="21"/>
        </w:rPr>
      </w:pPr>
      <w:r>
        <w:rPr>
          <w:rFonts w:hint="eastAsia" w:ascii="宋体" w:hAnsi="宋体" w:cs="宋体"/>
          <w:szCs w:val="21"/>
        </w:rPr>
        <w:t xml:space="preserve">开户行：                 </w:t>
      </w:r>
    </w:p>
    <w:p w14:paraId="162F86A7">
      <w:pPr>
        <w:pStyle w:val="59"/>
        <w:spacing w:line="400" w:lineRule="exact"/>
        <w:ind w:firstLine="420"/>
        <w:rPr>
          <w:rFonts w:ascii="宋体" w:hAnsi="宋体" w:cs="宋体"/>
          <w:szCs w:val="21"/>
        </w:rPr>
      </w:pPr>
      <w:r>
        <w:rPr>
          <w:rFonts w:hint="eastAsia" w:ascii="宋体" w:hAnsi="宋体" w:cs="宋体"/>
          <w:szCs w:val="21"/>
        </w:rPr>
        <w:t>3.如乙方收款账户发生变更、停用、销户等情况，应立即通知甲方，否则由此引起的甲方无法支付由乙方自行承担责任；如乙方拒绝领取，甲方可以将补偿费向有关机关提存，由此所发生的费用由乙方承担。因乙方原因未收到补偿费不免除乙方的竞业限制义务。</w:t>
      </w:r>
    </w:p>
    <w:p w14:paraId="372619D7">
      <w:pPr>
        <w:pStyle w:val="59"/>
        <w:spacing w:line="400" w:lineRule="exact"/>
        <w:ind w:firstLine="422"/>
        <w:rPr>
          <w:rFonts w:ascii="宋体" w:hAnsi="宋体" w:cs="宋体"/>
          <w:b/>
          <w:bCs/>
          <w:szCs w:val="21"/>
        </w:rPr>
      </w:pPr>
      <w:r>
        <w:rPr>
          <w:rFonts w:hint="eastAsia" w:ascii="宋体" w:hAnsi="宋体" w:cs="宋体"/>
          <w:b/>
          <w:bCs/>
          <w:szCs w:val="21"/>
        </w:rPr>
        <w:t>第四条 违约责任</w:t>
      </w:r>
    </w:p>
    <w:p w14:paraId="58E0BAC8">
      <w:pPr>
        <w:pStyle w:val="59"/>
        <w:spacing w:line="400" w:lineRule="exact"/>
        <w:ind w:firstLine="420"/>
        <w:rPr>
          <w:rFonts w:ascii="宋体" w:hAnsi="宋体" w:cs="宋体"/>
          <w:szCs w:val="21"/>
        </w:rPr>
      </w:pPr>
      <w:r>
        <w:rPr>
          <w:rFonts w:hint="eastAsia" w:ascii="宋体" w:hAnsi="宋体" w:cs="宋体"/>
          <w:szCs w:val="21"/>
        </w:rPr>
        <w:t>1.甲方无正当理由不履行本协议第三条所列各项义务，拒绝支付乙方的竞业限制补偿费超过三个月，甲方除如数向乙方支付约定的竞业限制补偿费外，还应当向乙方一次性支付竞业限制补偿总额的违约金。</w:t>
      </w:r>
    </w:p>
    <w:p w14:paraId="08ADE72F">
      <w:pPr>
        <w:pStyle w:val="59"/>
        <w:spacing w:line="400" w:lineRule="exact"/>
        <w:ind w:firstLine="420"/>
        <w:rPr>
          <w:rFonts w:ascii="宋体" w:hAnsi="宋体" w:cs="宋体"/>
          <w:szCs w:val="21"/>
        </w:rPr>
      </w:pPr>
      <w:r>
        <w:rPr>
          <w:rFonts w:hint="eastAsia" w:ascii="宋体" w:hAnsi="宋体" w:cs="宋体"/>
          <w:szCs w:val="21"/>
        </w:rPr>
        <w:t>2.乙方不履行本协议第二条规定的义务，应退回</w:t>
      </w:r>
      <w:r>
        <w:rPr>
          <w:rFonts w:ascii="宋体" w:hAnsi="宋体" w:cs="宋体"/>
          <w:szCs w:val="21"/>
        </w:rPr>
        <w:t>甲方已支付的竞业限制积极补偿金，并应向甲方承担</w:t>
      </w:r>
      <w:r>
        <w:rPr>
          <w:rFonts w:hint="eastAsia" w:ascii="宋体" w:hAnsi="宋体" w:cs="宋体"/>
          <w:szCs w:val="21"/>
        </w:rPr>
        <w:t>相当于</w:t>
      </w:r>
      <w:r>
        <w:rPr>
          <w:rFonts w:ascii="宋体" w:hAnsi="宋体" w:cs="宋体"/>
          <w:szCs w:val="21"/>
        </w:rPr>
        <w:t>竞业限制积极补偿金</w:t>
      </w:r>
      <w:r>
        <w:rPr>
          <w:rFonts w:hint="eastAsia" w:ascii="宋体" w:hAnsi="宋体" w:cs="宋体"/>
          <w:szCs w:val="21"/>
        </w:rPr>
        <w:t>5倍</w:t>
      </w:r>
      <w:r>
        <w:rPr>
          <w:rFonts w:ascii="宋体" w:hAnsi="宋体" w:cs="宋体"/>
          <w:szCs w:val="21"/>
        </w:rPr>
        <w:t>的违约金，如</w:t>
      </w:r>
      <w:r>
        <w:rPr>
          <w:rFonts w:hint="eastAsia" w:ascii="宋体" w:hAnsi="宋体" w:cs="宋体"/>
          <w:szCs w:val="21"/>
        </w:rPr>
        <w:t>违约金不足以补偿甲方损失，甲方还有权向乙方主张由此遭受的经济损失，</w:t>
      </w:r>
      <w:r>
        <w:rPr>
          <w:rFonts w:ascii="宋体" w:hAnsi="宋体" w:cs="宋体"/>
          <w:szCs w:val="21"/>
        </w:rPr>
        <w:t>包括但不限于</w:t>
      </w:r>
      <w:r>
        <w:rPr>
          <w:rFonts w:hint="eastAsia" w:ascii="宋体" w:hAnsi="宋体" w:cs="宋体"/>
          <w:szCs w:val="21"/>
        </w:rPr>
        <w:t>甲方因调查乙方的违约行为而支付的合理费用，包括但不限于律师费、调查费、评估费等。</w:t>
      </w:r>
    </w:p>
    <w:p w14:paraId="0E1DDF67">
      <w:pPr>
        <w:pStyle w:val="59"/>
        <w:spacing w:line="400" w:lineRule="exact"/>
        <w:ind w:firstLine="420"/>
        <w:rPr>
          <w:rFonts w:ascii="宋体" w:hAnsi="宋体" w:cs="宋体"/>
          <w:szCs w:val="21"/>
        </w:rPr>
      </w:pPr>
      <w:r>
        <w:rPr>
          <w:rFonts w:hint="eastAsia" w:ascii="宋体" w:hAnsi="宋体" w:cs="宋体"/>
          <w:szCs w:val="21"/>
        </w:rPr>
        <w:t>4.如乙方违约情形发生在乙方任职期间的，乙方属于严重违反规章制度，甲方有权从其工资中直接扣除相应的违约金及赔偿金，并有权解除与乙方的劳动合同。</w:t>
      </w:r>
    </w:p>
    <w:p w14:paraId="0E2F9433">
      <w:pPr>
        <w:pStyle w:val="59"/>
        <w:spacing w:line="400" w:lineRule="exact"/>
        <w:ind w:firstLine="420"/>
        <w:rPr>
          <w:rFonts w:ascii="宋体" w:hAnsi="宋体" w:cs="宋体"/>
          <w:szCs w:val="21"/>
        </w:rPr>
      </w:pPr>
      <w:r>
        <w:rPr>
          <w:rFonts w:hint="eastAsia" w:ascii="宋体" w:hAnsi="宋体" w:cs="宋体"/>
          <w:szCs w:val="21"/>
        </w:rPr>
        <w:t>5.如乙方不能按第二条第一款第2项要求提交约定证明材料，则应该视为乙方未履行竞业限制协议约定的义务，甲方有权暂停支付竞业限制补偿金。</w:t>
      </w:r>
    </w:p>
    <w:p w14:paraId="3DBC64B5">
      <w:pPr>
        <w:pStyle w:val="59"/>
        <w:spacing w:line="400" w:lineRule="exact"/>
        <w:ind w:firstLine="420"/>
        <w:rPr>
          <w:rFonts w:ascii="宋体" w:hAnsi="宋体" w:cs="宋体"/>
          <w:szCs w:val="21"/>
        </w:rPr>
      </w:pPr>
      <w:r>
        <w:rPr>
          <w:rFonts w:hint="eastAsia" w:ascii="宋体" w:hAnsi="宋体" w:cs="宋体"/>
          <w:szCs w:val="21"/>
        </w:rPr>
        <w:t>6.乙方因违约行为承担违约责任后，甲方有权要求乙方按本协议约定继续履行竞业限制义务。</w:t>
      </w:r>
    </w:p>
    <w:p w14:paraId="464B40B2">
      <w:pPr>
        <w:pStyle w:val="59"/>
        <w:spacing w:line="400" w:lineRule="exact"/>
        <w:ind w:firstLine="422"/>
        <w:rPr>
          <w:rFonts w:ascii="宋体" w:hAnsi="宋体" w:cs="宋体"/>
          <w:b/>
          <w:bCs/>
          <w:szCs w:val="21"/>
        </w:rPr>
      </w:pPr>
      <w:r>
        <w:rPr>
          <w:rFonts w:hint="eastAsia" w:ascii="宋体" w:hAnsi="宋体" w:cs="宋体"/>
          <w:b/>
          <w:bCs/>
          <w:szCs w:val="21"/>
        </w:rPr>
        <w:t>第五条 合同的权利义务终止</w:t>
      </w:r>
    </w:p>
    <w:p w14:paraId="361965C6">
      <w:pPr>
        <w:pStyle w:val="59"/>
        <w:spacing w:line="400" w:lineRule="exact"/>
        <w:ind w:firstLine="420"/>
        <w:rPr>
          <w:rFonts w:ascii="宋体" w:hAnsi="宋体" w:cs="宋体"/>
          <w:szCs w:val="21"/>
        </w:rPr>
      </w:pPr>
      <w:r>
        <w:rPr>
          <w:rFonts w:hint="eastAsia" w:ascii="宋体" w:hAnsi="宋体" w:cs="宋体"/>
          <w:szCs w:val="21"/>
        </w:rPr>
        <w:t>双方约定，出现下列情况之一的，本协议自行终止：</w:t>
      </w:r>
    </w:p>
    <w:p w14:paraId="760D41CF">
      <w:pPr>
        <w:pStyle w:val="59"/>
        <w:spacing w:line="400" w:lineRule="exact"/>
        <w:ind w:firstLine="420"/>
        <w:rPr>
          <w:rFonts w:ascii="宋体" w:hAnsi="宋体" w:cs="宋体"/>
          <w:szCs w:val="21"/>
        </w:rPr>
      </w:pPr>
      <w:r>
        <w:rPr>
          <w:rFonts w:hint="eastAsia" w:ascii="宋体" w:hAnsi="宋体" w:cs="宋体"/>
          <w:szCs w:val="21"/>
        </w:rPr>
        <w:t>1.甲方书面告知乙方免除乙方竞业限制义务的。</w:t>
      </w:r>
    </w:p>
    <w:p w14:paraId="3CA0CB67">
      <w:pPr>
        <w:pStyle w:val="59"/>
        <w:spacing w:line="400" w:lineRule="exact"/>
        <w:ind w:firstLine="420"/>
        <w:rPr>
          <w:rFonts w:ascii="宋体" w:hAnsi="宋体" w:cs="宋体"/>
          <w:szCs w:val="21"/>
        </w:rPr>
      </w:pPr>
      <w:r>
        <w:rPr>
          <w:rFonts w:hint="eastAsia" w:ascii="宋体" w:hAnsi="宋体" w:cs="宋体"/>
          <w:szCs w:val="21"/>
        </w:rPr>
        <w:t>2.甲方无正当理由不履行本协议第三条的义务，拒绝向乙方支付竞业限制补偿费超过三个月的。</w:t>
      </w:r>
    </w:p>
    <w:p w14:paraId="75080716">
      <w:pPr>
        <w:pStyle w:val="59"/>
        <w:spacing w:line="400" w:lineRule="exact"/>
        <w:ind w:firstLine="420"/>
        <w:rPr>
          <w:rFonts w:ascii="宋体" w:hAnsi="宋体" w:cs="宋体"/>
          <w:szCs w:val="21"/>
        </w:rPr>
      </w:pPr>
      <w:r>
        <w:rPr>
          <w:rFonts w:hint="eastAsia" w:ascii="宋体" w:hAnsi="宋体" w:cs="宋体"/>
          <w:szCs w:val="21"/>
        </w:rPr>
        <w:t>3.甲方因破产、解散等事由终止法人主体资格，且没有承受权利义务的合法主体。本协议权利义务的终止不影响甲乙双方在本协议签订之前或之后签订的商业秘密保密协议的效力。</w:t>
      </w:r>
    </w:p>
    <w:p w14:paraId="0630D31C">
      <w:pPr>
        <w:pStyle w:val="59"/>
        <w:spacing w:line="400" w:lineRule="exact"/>
        <w:ind w:firstLine="420"/>
        <w:rPr>
          <w:rFonts w:ascii="宋体" w:hAnsi="宋体" w:cs="宋体"/>
          <w:szCs w:val="21"/>
        </w:rPr>
      </w:pPr>
      <w:r>
        <w:rPr>
          <w:rFonts w:hint="eastAsia" w:ascii="宋体" w:hAnsi="宋体" w:cs="宋体"/>
          <w:szCs w:val="21"/>
        </w:rPr>
        <w:t>4.竞业限制期限届满。</w:t>
      </w:r>
    </w:p>
    <w:p w14:paraId="67F0A921">
      <w:pPr>
        <w:pStyle w:val="59"/>
        <w:spacing w:line="400" w:lineRule="exact"/>
        <w:ind w:firstLine="422"/>
        <w:rPr>
          <w:rFonts w:ascii="宋体" w:hAnsi="宋体" w:cs="宋体"/>
          <w:b/>
          <w:bCs/>
          <w:szCs w:val="21"/>
        </w:rPr>
      </w:pPr>
      <w:r>
        <w:rPr>
          <w:rFonts w:hint="eastAsia" w:ascii="宋体" w:hAnsi="宋体" w:cs="宋体"/>
          <w:b/>
          <w:bCs/>
          <w:szCs w:val="21"/>
        </w:rPr>
        <w:t>第六条 纠纷解决程序与管辖</w:t>
      </w:r>
    </w:p>
    <w:p w14:paraId="6DA220D8">
      <w:pPr>
        <w:pStyle w:val="59"/>
        <w:spacing w:line="400" w:lineRule="exact"/>
        <w:ind w:firstLine="420"/>
        <w:rPr>
          <w:rFonts w:ascii="宋体" w:hAnsi="宋体" w:cs="宋体"/>
          <w:szCs w:val="21"/>
        </w:rPr>
      </w:pPr>
      <w:r>
        <w:rPr>
          <w:rFonts w:hint="eastAsia" w:ascii="宋体" w:hAnsi="宋体" w:cs="宋体"/>
          <w:szCs w:val="21"/>
        </w:rPr>
        <w:t>1.甲、乙双方在履行本协议过程中发生争议，应先行协商解决，如协商不成时，可以向甲方所在地劳动争议仲裁委员会申请劳动仲裁，双方对仲裁结果不服的，可以向甲方住所地人民法院提起诉讼。</w:t>
      </w:r>
    </w:p>
    <w:p w14:paraId="49A980DE">
      <w:pPr>
        <w:pStyle w:val="59"/>
        <w:spacing w:line="400" w:lineRule="exact"/>
        <w:ind w:firstLine="420"/>
        <w:rPr>
          <w:rFonts w:ascii="宋体" w:hAnsi="宋体" w:cs="宋体"/>
          <w:szCs w:val="21"/>
        </w:rPr>
      </w:pPr>
      <w:r>
        <w:rPr>
          <w:rFonts w:hint="eastAsia" w:ascii="宋体" w:hAnsi="宋体" w:cs="宋体"/>
          <w:szCs w:val="21"/>
        </w:rPr>
        <w:t>2.若协议履行过程中双方发生诉讼或仲裁，在诉讼或仲裁进行期间，除正在进行诉讼或仲裁的部分或直接和实质性地受到诉讼或仲裁影响的条款外，本协议其余条款应当继续履行。</w:t>
      </w:r>
    </w:p>
    <w:p w14:paraId="48EBEEC3">
      <w:pPr>
        <w:pStyle w:val="59"/>
        <w:spacing w:line="400" w:lineRule="exact"/>
        <w:ind w:firstLine="422"/>
        <w:rPr>
          <w:rFonts w:ascii="宋体" w:hAnsi="宋体" w:cs="宋体"/>
          <w:b/>
          <w:bCs/>
          <w:szCs w:val="21"/>
        </w:rPr>
      </w:pPr>
      <w:r>
        <w:rPr>
          <w:rFonts w:hint="eastAsia" w:ascii="宋体" w:hAnsi="宋体" w:cs="宋体"/>
          <w:b/>
          <w:bCs/>
          <w:szCs w:val="21"/>
        </w:rPr>
        <w:t>第七条 其他</w:t>
      </w:r>
    </w:p>
    <w:p w14:paraId="534A83EC">
      <w:pPr>
        <w:pStyle w:val="59"/>
        <w:spacing w:line="400" w:lineRule="exact"/>
        <w:ind w:firstLine="420"/>
        <w:rPr>
          <w:rFonts w:ascii="宋体" w:hAnsi="宋体" w:cs="宋体"/>
          <w:szCs w:val="21"/>
        </w:rPr>
      </w:pPr>
      <w:r>
        <w:rPr>
          <w:rFonts w:hint="eastAsia" w:ascii="宋体" w:hAnsi="宋体" w:cs="宋体"/>
          <w:szCs w:val="21"/>
        </w:rPr>
        <w:t>1.本协议自甲乙双方签字盖章之日起生效，且未经双方书面协议不得补充或修改，本协议签署、履行、解释和争议解决均适用中华人民共和国法律。</w:t>
      </w:r>
    </w:p>
    <w:p w14:paraId="53C3D1BC">
      <w:pPr>
        <w:pStyle w:val="59"/>
        <w:spacing w:line="400" w:lineRule="exact"/>
        <w:ind w:firstLine="420"/>
        <w:rPr>
          <w:rFonts w:ascii="宋体" w:hAnsi="宋体" w:cs="宋体"/>
          <w:szCs w:val="21"/>
        </w:rPr>
      </w:pPr>
      <w:r>
        <w:rPr>
          <w:rFonts w:hint="eastAsia" w:ascii="宋体" w:hAnsi="宋体" w:cs="宋体"/>
          <w:szCs w:val="21"/>
        </w:rPr>
        <w:t xml:space="preserve">2.本协议一式 </w:t>
      </w:r>
      <w:r>
        <w:rPr>
          <w:rFonts w:hint="eastAsia" w:ascii="宋体" w:hAnsi="宋体" w:cs="宋体"/>
          <w:szCs w:val="21"/>
          <w:u w:val="single"/>
        </w:rPr>
        <w:t xml:space="preserve">     </w:t>
      </w:r>
      <w:r>
        <w:rPr>
          <w:rFonts w:hint="eastAsia" w:ascii="宋体" w:hAnsi="宋体" w:cs="宋体"/>
          <w:szCs w:val="21"/>
        </w:rPr>
        <w:t>份，双方各执</w:t>
      </w:r>
      <w:r>
        <w:rPr>
          <w:rFonts w:hint="eastAsia" w:ascii="宋体" w:hAnsi="宋体" w:cs="宋体"/>
          <w:szCs w:val="21"/>
          <w:u w:val="single"/>
        </w:rPr>
        <w:t xml:space="preserve">     </w:t>
      </w:r>
      <w:r>
        <w:rPr>
          <w:rFonts w:hint="eastAsia" w:ascii="宋体" w:hAnsi="宋体" w:cs="宋体"/>
          <w:szCs w:val="21"/>
        </w:rPr>
        <w:t>份，具有同等法律效力。</w:t>
      </w:r>
    </w:p>
    <w:p w14:paraId="23AE7B68">
      <w:pPr>
        <w:pStyle w:val="59"/>
        <w:spacing w:line="400" w:lineRule="exact"/>
        <w:ind w:firstLine="420"/>
        <w:rPr>
          <w:rFonts w:ascii="宋体" w:hAnsi="宋体" w:cs="宋体"/>
          <w:szCs w:val="21"/>
        </w:rPr>
      </w:pPr>
    </w:p>
    <w:p w14:paraId="391B202D">
      <w:pPr>
        <w:pStyle w:val="59"/>
        <w:spacing w:line="400" w:lineRule="exact"/>
        <w:ind w:firstLine="420"/>
        <w:rPr>
          <w:rFonts w:ascii="宋体" w:hAnsi="宋体" w:cs="宋体"/>
          <w:szCs w:val="21"/>
        </w:rPr>
      </w:pPr>
    </w:p>
    <w:p w14:paraId="7A805F4B">
      <w:pPr>
        <w:pStyle w:val="59"/>
        <w:spacing w:line="400" w:lineRule="exact"/>
        <w:ind w:firstLine="420"/>
        <w:rPr>
          <w:rFonts w:ascii="宋体" w:hAnsi="宋体" w:cs="宋体"/>
          <w:szCs w:val="21"/>
        </w:rPr>
      </w:pPr>
      <w:r>
        <w:rPr>
          <w:rFonts w:hint="eastAsia" w:ascii="宋体" w:hAnsi="宋体" w:cs="宋体"/>
          <w:szCs w:val="21"/>
        </w:rPr>
        <w:t>(以下无正文）</w:t>
      </w:r>
    </w:p>
    <w:p w14:paraId="6A3056B7">
      <w:pPr>
        <w:pStyle w:val="59"/>
        <w:spacing w:line="400" w:lineRule="exact"/>
        <w:ind w:firstLine="420"/>
        <w:rPr>
          <w:rFonts w:ascii="宋体" w:hAnsi="宋体" w:cs="宋体"/>
          <w:szCs w:val="21"/>
        </w:rPr>
      </w:pPr>
      <w:r>
        <w:rPr>
          <w:rFonts w:hint="eastAsia" w:ascii="宋体" w:hAnsi="宋体" w:cs="宋体"/>
          <w:szCs w:val="21"/>
        </w:rPr>
        <w:t>（本页为《竞业限制协议》签署页）</w:t>
      </w:r>
    </w:p>
    <w:p w14:paraId="0AFDFA7D">
      <w:pPr>
        <w:pStyle w:val="59"/>
        <w:spacing w:line="400" w:lineRule="exact"/>
        <w:ind w:firstLine="420"/>
        <w:rPr>
          <w:rFonts w:ascii="宋体" w:hAnsi="宋体" w:cs="宋体"/>
          <w:szCs w:val="21"/>
        </w:rPr>
      </w:pPr>
    </w:p>
    <w:p w14:paraId="550A8362">
      <w:pPr>
        <w:pStyle w:val="59"/>
        <w:spacing w:line="400" w:lineRule="exact"/>
        <w:ind w:firstLine="420"/>
        <w:rPr>
          <w:rFonts w:ascii="宋体" w:hAnsi="宋体" w:cs="宋体"/>
          <w:szCs w:val="21"/>
        </w:rPr>
      </w:pPr>
      <w:r>
        <w:rPr>
          <w:rFonts w:hint="eastAsia" w:ascii="宋体" w:hAnsi="宋体" w:cs="宋体"/>
          <w:szCs w:val="21"/>
        </w:rPr>
        <w:t>甲方：________________________________（盖章）</w:t>
      </w:r>
    </w:p>
    <w:p w14:paraId="6A89644B">
      <w:pPr>
        <w:pStyle w:val="59"/>
        <w:spacing w:line="400" w:lineRule="exact"/>
        <w:ind w:firstLine="420"/>
        <w:rPr>
          <w:rFonts w:ascii="宋体" w:hAnsi="宋体" w:cs="宋体"/>
          <w:szCs w:val="21"/>
        </w:rPr>
      </w:pPr>
      <w:r>
        <w:rPr>
          <w:rFonts w:hint="eastAsia" w:ascii="宋体" w:hAnsi="宋体" w:cs="宋体"/>
          <w:szCs w:val="21"/>
        </w:rPr>
        <w:t>法定代表人/授权代表：_________________</w:t>
      </w:r>
    </w:p>
    <w:p w14:paraId="4DC38584">
      <w:pPr>
        <w:pStyle w:val="59"/>
        <w:spacing w:line="400" w:lineRule="exact"/>
        <w:ind w:firstLine="420"/>
        <w:rPr>
          <w:rFonts w:ascii="宋体" w:hAnsi="宋体" w:cs="宋体"/>
          <w:szCs w:val="21"/>
        </w:rPr>
      </w:pPr>
      <w:r>
        <w:rPr>
          <w:rFonts w:hint="eastAsia" w:ascii="宋体" w:hAnsi="宋体" w:cs="宋体"/>
          <w:szCs w:val="21"/>
        </w:rPr>
        <w:t>日期：________________________________</w:t>
      </w:r>
    </w:p>
    <w:p w14:paraId="5B54642B">
      <w:pPr>
        <w:pStyle w:val="59"/>
        <w:spacing w:line="400" w:lineRule="exact"/>
        <w:ind w:firstLine="420"/>
        <w:rPr>
          <w:rFonts w:ascii="宋体" w:hAnsi="宋体" w:cs="宋体"/>
          <w:szCs w:val="21"/>
        </w:rPr>
      </w:pPr>
    </w:p>
    <w:p w14:paraId="7CF12E36">
      <w:pPr>
        <w:pStyle w:val="59"/>
        <w:spacing w:line="400" w:lineRule="exact"/>
        <w:ind w:firstLine="420"/>
        <w:rPr>
          <w:rFonts w:ascii="宋体" w:hAnsi="宋体" w:cs="宋体"/>
          <w:szCs w:val="21"/>
        </w:rPr>
      </w:pPr>
      <w:r>
        <w:rPr>
          <w:rFonts w:hint="eastAsia" w:ascii="宋体" w:hAnsi="宋体" w:cs="宋体"/>
          <w:szCs w:val="21"/>
        </w:rPr>
        <w:t>乙方：________________________________（盖章）</w:t>
      </w:r>
    </w:p>
    <w:p w14:paraId="471C1141">
      <w:pPr>
        <w:pStyle w:val="59"/>
        <w:spacing w:line="400" w:lineRule="exact"/>
        <w:ind w:firstLine="420"/>
        <w:rPr>
          <w:rFonts w:ascii="宋体" w:hAnsi="宋体" w:cs="宋体"/>
          <w:szCs w:val="21"/>
        </w:rPr>
      </w:pPr>
      <w:r>
        <w:rPr>
          <w:rFonts w:hint="eastAsia" w:ascii="宋体" w:hAnsi="宋体" w:cs="宋体"/>
          <w:szCs w:val="21"/>
        </w:rPr>
        <w:t>法定代表人/授权代表：_________________</w:t>
      </w:r>
    </w:p>
    <w:p w14:paraId="44389C6C">
      <w:pPr>
        <w:pStyle w:val="59"/>
        <w:spacing w:line="400" w:lineRule="exact"/>
        <w:ind w:firstLine="420"/>
        <w:rPr>
          <w:rFonts w:ascii="宋体" w:hAnsi="宋体" w:cs="宋体"/>
          <w:szCs w:val="21"/>
        </w:rPr>
      </w:pPr>
      <w:r>
        <w:rPr>
          <w:rFonts w:hint="eastAsia" w:ascii="宋体" w:hAnsi="宋体" w:cs="宋体"/>
          <w:szCs w:val="21"/>
        </w:rPr>
        <w:t>日期：________________________________</w:t>
      </w:r>
    </w:p>
    <w:p w14:paraId="3EB7C0AE">
      <w:pPr>
        <w:pStyle w:val="59"/>
        <w:spacing w:line="400" w:lineRule="exact"/>
        <w:ind w:firstLine="420"/>
        <w:rPr>
          <w:rFonts w:ascii="宋体" w:hAnsi="宋体" w:cs="宋体"/>
          <w:szCs w:val="21"/>
        </w:rPr>
        <w:sectPr>
          <w:headerReference r:id="rId30" w:type="default"/>
          <w:footerReference r:id="rId32" w:type="default"/>
          <w:headerReference r:id="rId31" w:type="even"/>
          <w:footerReference r:id="rId33" w:type="even"/>
          <w:pgSz w:w="11906" w:h="16838"/>
          <w:pgMar w:top="1928" w:right="1134" w:bottom="1134" w:left="1134" w:header="1418" w:footer="1134" w:gutter="284"/>
          <w:cols w:space="425" w:num="1"/>
          <w:formProt w:val="0"/>
          <w:docGrid w:type="lines" w:linePitch="312" w:charSpace="0"/>
        </w:sectPr>
      </w:pPr>
    </w:p>
    <w:p w14:paraId="5A3FB3CF">
      <w:pPr>
        <w:pStyle w:val="201"/>
      </w:pPr>
    </w:p>
    <w:p w14:paraId="1B9083A1">
      <w:pPr>
        <w:pStyle w:val="202"/>
      </w:pPr>
    </w:p>
    <w:p w14:paraId="3E982B4F">
      <w:pPr>
        <w:pStyle w:val="79"/>
        <w:spacing w:after="156"/>
        <w:rPr>
          <w:rFonts w:ascii="宋体" w:hAnsi="宋体" w:eastAsia="宋体" w:cs="宋体"/>
          <w:b/>
          <w:color w:val="1B1C1D"/>
          <w:sz w:val="18"/>
          <w:szCs w:val="18"/>
        </w:rPr>
      </w:pPr>
      <w:bookmarkStart w:id="366" w:name="_Toc9463"/>
      <w:bookmarkStart w:id="367" w:name="_Toc20016"/>
      <w:r>
        <w:br w:type="textWrapping"/>
      </w:r>
      <w:bookmarkStart w:id="368" w:name="_Toc219723721"/>
      <w:bookmarkStart w:id="369" w:name="_Toc214009872"/>
      <w:bookmarkStart w:id="370" w:name="_Toc214009905"/>
      <w:r>
        <w:rPr>
          <w:rFonts w:hint="eastAsia"/>
        </w:rPr>
        <w:t>（资料性）</w:t>
      </w:r>
      <w:r>
        <w:rPr>
          <w:rFonts w:hint="eastAsia"/>
        </w:rPr>
        <w:br w:type="textWrapping"/>
      </w:r>
      <w:r>
        <w:rPr>
          <w:rFonts w:hint="eastAsia"/>
        </w:rPr>
        <w:t>员工离职保密协议</w:t>
      </w:r>
      <w:bookmarkEnd w:id="366"/>
      <w:bookmarkEnd w:id="367"/>
      <w:bookmarkEnd w:id="368"/>
      <w:bookmarkEnd w:id="369"/>
      <w:bookmarkEnd w:id="370"/>
    </w:p>
    <w:p w14:paraId="04D7EF14">
      <w:pPr>
        <w:snapToGrid w:val="0"/>
        <w:ind w:firstLine="420" w:firstLineChars="200"/>
        <w:rPr>
          <w:rFonts w:ascii="宋体" w:hAnsi="宋体" w:cs="宋体"/>
        </w:rPr>
      </w:pPr>
      <w:r>
        <w:rPr>
          <w:rFonts w:hint="eastAsia" w:ascii="宋体" w:hAnsi="宋体" w:cs="宋体"/>
        </w:rPr>
        <w:t>甲方（单位）： [公司全称]</w:t>
      </w:r>
    </w:p>
    <w:p w14:paraId="48E8606F">
      <w:pPr>
        <w:snapToGrid w:val="0"/>
        <w:ind w:firstLine="420" w:firstLineChars="200"/>
        <w:rPr>
          <w:rFonts w:ascii="宋体" w:hAnsi="宋体" w:cs="宋体"/>
        </w:rPr>
      </w:pPr>
      <w:r>
        <w:rPr>
          <w:rFonts w:hint="eastAsia" w:ascii="宋体" w:hAnsi="宋体" w:cs="宋体"/>
        </w:rPr>
        <w:t xml:space="preserve">统一社会信用代码： </w:t>
      </w:r>
      <w:r>
        <w:rPr>
          <w:rFonts w:hint="eastAsia" w:ascii="宋体" w:hAnsi="宋体" w:cs="宋体"/>
          <w:u w:val="single"/>
        </w:rPr>
        <w:t xml:space="preserve">                        </w:t>
      </w:r>
    </w:p>
    <w:p w14:paraId="40A37FE0">
      <w:pPr>
        <w:snapToGrid w:val="0"/>
        <w:ind w:firstLine="420" w:firstLineChars="200"/>
        <w:rPr>
          <w:rFonts w:ascii="宋体" w:hAnsi="宋体" w:cs="宋体"/>
        </w:rPr>
      </w:pPr>
      <w:r>
        <w:rPr>
          <w:rFonts w:hint="eastAsia" w:ascii="宋体" w:hAnsi="宋体" w:cs="宋体"/>
        </w:rPr>
        <w:t xml:space="preserve">地址： </w:t>
      </w:r>
      <w:r>
        <w:rPr>
          <w:rFonts w:hint="eastAsia" w:ascii="宋体" w:hAnsi="宋体" w:cs="宋体"/>
          <w:u w:val="single"/>
        </w:rPr>
        <w:t xml:space="preserve">                                               </w:t>
      </w:r>
    </w:p>
    <w:p w14:paraId="78B99E1F">
      <w:pPr>
        <w:snapToGrid w:val="0"/>
        <w:ind w:firstLine="420" w:firstLineChars="200"/>
        <w:rPr>
          <w:rFonts w:ascii="宋体" w:hAnsi="宋体" w:cs="宋体"/>
        </w:rPr>
      </w:pPr>
    </w:p>
    <w:p w14:paraId="3654FDAF">
      <w:pPr>
        <w:snapToGrid w:val="0"/>
        <w:ind w:firstLine="420" w:firstLineChars="200"/>
        <w:rPr>
          <w:rFonts w:ascii="宋体" w:hAnsi="宋体" w:cs="宋体"/>
        </w:rPr>
      </w:pPr>
      <w:r>
        <w:rPr>
          <w:rFonts w:hint="eastAsia" w:ascii="宋体" w:hAnsi="宋体" w:cs="宋体"/>
        </w:rPr>
        <w:t>乙方（员工）： [员工姓名]</w:t>
      </w:r>
    </w:p>
    <w:p w14:paraId="456696BA">
      <w:pPr>
        <w:snapToGrid w:val="0"/>
        <w:ind w:firstLine="420" w:firstLineChars="200"/>
        <w:rPr>
          <w:rFonts w:ascii="宋体" w:hAnsi="宋体" w:cs="宋体"/>
          <w:u w:val="single"/>
        </w:rPr>
      </w:pPr>
      <w:r>
        <w:rPr>
          <w:rFonts w:hint="eastAsia" w:ascii="宋体" w:hAnsi="宋体" w:cs="宋体"/>
        </w:rPr>
        <w:t>居民身份证号码：</w:t>
      </w:r>
      <w:r>
        <w:rPr>
          <w:rFonts w:hint="eastAsia" w:ascii="宋体" w:hAnsi="宋体" w:cs="宋体"/>
          <w:u w:val="single"/>
        </w:rPr>
        <w:t xml:space="preserve">                            </w:t>
      </w:r>
    </w:p>
    <w:p w14:paraId="10945C36">
      <w:pPr>
        <w:snapToGrid w:val="0"/>
        <w:ind w:firstLine="420" w:firstLineChars="200"/>
        <w:rPr>
          <w:rFonts w:ascii="宋体" w:hAnsi="宋体" w:cs="宋体"/>
        </w:rPr>
      </w:pPr>
      <w:r>
        <w:rPr>
          <w:rFonts w:hint="eastAsia" w:ascii="宋体" w:hAnsi="宋体" w:cs="宋体"/>
        </w:rPr>
        <w:t>住址：</w:t>
      </w:r>
      <w:r>
        <w:rPr>
          <w:rFonts w:hint="eastAsia" w:ascii="宋体" w:hAnsi="宋体" w:cs="宋体"/>
          <w:u w:val="single"/>
        </w:rPr>
        <w:t xml:space="preserve">                                                 </w:t>
      </w:r>
    </w:p>
    <w:p w14:paraId="11D62745">
      <w:pPr>
        <w:snapToGrid w:val="0"/>
        <w:ind w:firstLine="420" w:firstLineChars="200"/>
        <w:rPr>
          <w:rFonts w:ascii="宋体" w:hAnsi="宋体" w:cs="宋体"/>
          <w:color w:val="1B1C1D"/>
        </w:rPr>
      </w:pPr>
      <w:r>
        <w:rPr>
          <w:rFonts w:hint="eastAsia" w:ascii="宋体" w:hAnsi="宋体" w:cs="宋体"/>
          <w:color w:val="1B1C1D"/>
        </w:rPr>
        <w:t>鉴于乙方因曾在甲方任职，接触、知悉或掌握了甲方的商业秘密及保密信息，现甲乙双方劳动关系即将/已经解除或终止。为进一步明确乙方离职后应承担的保密义务，甲乙双方本着平等、自愿、公平和诚实信用的原则，订立本协议，以资共同遵守。</w:t>
      </w:r>
    </w:p>
    <w:p w14:paraId="1DBCAC92">
      <w:pPr>
        <w:snapToGrid w:val="0"/>
        <w:ind w:firstLine="422" w:firstLineChars="200"/>
        <w:rPr>
          <w:rFonts w:ascii="宋体" w:hAnsi="宋体" w:cs="宋体"/>
          <w:b/>
          <w:color w:val="1B1C1D"/>
        </w:rPr>
      </w:pPr>
      <w:r>
        <w:rPr>
          <w:rFonts w:hint="eastAsia" w:ascii="宋体" w:hAnsi="宋体" w:cs="宋体"/>
          <w:b/>
          <w:color w:val="1B1C1D"/>
        </w:rPr>
        <w:t>第一条 商业秘密的确认</w:t>
      </w:r>
    </w:p>
    <w:p w14:paraId="60B02EA2">
      <w:pPr>
        <w:snapToGrid w:val="0"/>
        <w:ind w:firstLine="420" w:firstLineChars="200"/>
        <w:rPr>
          <w:rFonts w:ascii="宋体" w:hAnsi="宋体" w:cs="宋体"/>
        </w:rPr>
      </w:pPr>
      <w:r>
        <w:rPr>
          <w:rFonts w:hint="eastAsia" w:ascii="宋体" w:hAnsi="宋体" w:cs="宋体"/>
          <w:color w:val="000000"/>
        </w:rPr>
        <w:t>1.</w:t>
      </w:r>
      <w:r>
        <w:rPr>
          <w:rFonts w:hint="eastAsia" w:ascii="宋体" w:hAnsi="宋体" w:cs="宋体"/>
          <w:color w:val="1B1C1D"/>
        </w:rPr>
        <w:t>乙方确认，在甲方任职期间，因履行职务或工作便利，已经直接或间接地接触、知悉或掌握了甲方的商业秘密。</w:t>
      </w:r>
    </w:p>
    <w:p w14:paraId="6C89DE9B">
      <w:pPr>
        <w:snapToGrid w:val="0"/>
        <w:ind w:firstLine="420" w:firstLineChars="200"/>
        <w:rPr>
          <w:rFonts w:ascii="宋体" w:hAnsi="宋体" w:cs="宋体"/>
        </w:rPr>
      </w:pPr>
      <w:r>
        <w:rPr>
          <w:rFonts w:hint="eastAsia" w:ascii="宋体" w:hAnsi="宋体" w:cs="宋体"/>
          <w:color w:val="000000"/>
        </w:rPr>
        <w:t>2.</w:t>
      </w:r>
      <w:r>
        <w:rPr>
          <w:rFonts w:hint="eastAsia" w:ascii="宋体" w:hAnsi="宋体" w:cs="宋体"/>
          <w:color w:val="1B1C1D"/>
        </w:rPr>
        <w:t>双方确认，本协议所指的商业秘密，是指不为公众所知悉、具有商业价值并经甲方采取相应保密措施的技术信息、经营信息等商业信息。包括但不限于：</w:t>
      </w:r>
    </w:p>
    <w:p w14:paraId="7CD45A79">
      <w:pPr>
        <w:pStyle w:val="135"/>
      </w:pPr>
      <w:r>
        <w:rPr>
          <w:rFonts w:hint="eastAsia"/>
          <w:b/>
          <w:bCs/>
        </w:rPr>
        <w:t>技术信息</w:t>
      </w:r>
      <w:r>
        <w:rPr>
          <w:rFonts w:hint="eastAsia"/>
        </w:rPr>
        <w:t>：与产品或服务有关的设计、程序、算法、数据、图纸、配方、工艺、样品、技术诀窍、未公开的专利申请文件等。</w:t>
      </w:r>
    </w:p>
    <w:p w14:paraId="6EBE7912">
      <w:pPr>
        <w:pStyle w:val="135"/>
      </w:pPr>
      <w:r>
        <w:rPr>
          <w:rFonts w:hint="eastAsia"/>
          <w:b/>
          <w:bCs/>
        </w:rPr>
        <w:t>经营信息</w:t>
      </w:r>
      <w:r>
        <w:rPr>
          <w:rFonts w:hint="eastAsia"/>
        </w:rPr>
        <w:t>：公司的发展战略、客户名单、供应商信息、采购渠道、财务数据、成本利润、营销策略、招投标材料、内部管理诀窍等。</w:t>
      </w:r>
    </w:p>
    <w:p w14:paraId="02C1D46E">
      <w:pPr>
        <w:pStyle w:val="135"/>
      </w:pPr>
      <w:r>
        <w:rPr>
          <w:rFonts w:hint="eastAsia"/>
          <w:b/>
          <w:bCs/>
        </w:rPr>
        <w:t>其他信息</w:t>
      </w:r>
      <w:r>
        <w:rPr>
          <w:rFonts w:hint="eastAsia"/>
        </w:rPr>
        <w:t>：其他所有甲方明确规定为保密事项或乙方基于职权应当知晓为保密事项的信息。</w:t>
      </w:r>
    </w:p>
    <w:p w14:paraId="4DB8E4B9">
      <w:pPr>
        <w:snapToGrid w:val="0"/>
        <w:ind w:firstLine="422" w:firstLineChars="200"/>
        <w:rPr>
          <w:rFonts w:ascii="宋体" w:hAnsi="宋体" w:cs="宋体"/>
          <w:b/>
          <w:color w:val="1B1C1D"/>
        </w:rPr>
      </w:pPr>
      <w:r>
        <w:rPr>
          <w:rFonts w:hint="eastAsia" w:ascii="宋体" w:hAnsi="宋体" w:cs="宋体"/>
          <w:b/>
          <w:color w:val="1B1C1D"/>
        </w:rPr>
        <w:t>第二条 离职后的保密义务</w:t>
      </w:r>
    </w:p>
    <w:p w14:paraId="5A898891">
      <w:pPr>
        <w:snapToGrid w:val="0"/>
        <w:ind w:firstLine="420" w:firstLineChars="200"/>
        <w:rPr>
          <w:rFonts w:ascii="宋体" w:hAnsi="宋体" w:cs="宋体"/>
          <w:color w:val="1B1C1D"/>
        </w:rPr>
      </w:pPr>
      <w:r>
        <w:rPr>
          <w:rFonts w:hint="eastAsia" w:ascii="宋体" w:hAnsi="宋体" w:cs="宋体"/>
          <w:color w:val="1B1C1D"/>
        </w:rPr>
        <w:t>乙方承诺，自与甲方劳动关系解除或终止之日起，对在甲方任职期间所知悉的商业秘密，承担如下持续的保密义务：</w:t>
      </w:r>
    </w:p>
    <w:p w14:paraId="10B17314">
      <w:pPr>
        <w:snapToGrid w:val="0"/>
        <w:ind w:firstLine="420" w:firstLineChars="200"/>
        <w:rPr>
          <w:rFonts w:ascii="宋体" w:hAnsi="宋体" w:cs="宋体"/>
        </w:rPr>
      </w:pPr>
      <w:r>
        <w:rPr>
          <w:rFonts w:hint="eastAsia" w:ascii="宋体" w:hAnsi="宋体" w:cs="宋体"/>
          <w:color w:val="000000"/>
        </w:rPr>
        <w:t>1.</w:t>
      </w:r>
      <w:r>
        <w:rPr>
          <w:rFonts w:hint="eastAsia" w:ascii="宋体" w:hAnsi="宋体" w:cs="宋体"/>
          <w:b/>
          <w:color w:val="1B1C1D"/>
        </w:rPr>
        <w:t>不得披露：</w:t>
      </w:r>
      <w:r>
        <w:rPr>
          <w:rFonts w:hint="eastAsia" w:ascii="宋体" w:hAnsi="宋体" w:cs="宋体"/>
          <w:color w:val="1B1C1D"/>
        </w:rPr>
        <w:t>不得以任何方式（包括口头、书面、电子传输等）向任何第三方（包括但不限于新任职单位、个人、其他组织）泄露、告知、公布、发布、传授、转让或以其他任何形式使第三方知悉甲方的商业秘密。</w:t>
      </w:r>
    </w:p>
    <w:p w14:paraId="3FAF3F66">
      <w:pPr>
        <w:snapToGrid w:val="0"/>
        <w:ind w:firstLine="420" w:firstLineChars="200"/>
        <w:rPr>
          <w:rFonts w:ascii="宋体" w:hAnsi="宋体" w:cs="宋体"/>
        </w:rPr>
      </w:pPr>
      <w:r>
        <w:rPr>
          <w:rFonts w:hint="eastAsia" w:ascii="宋体" w:hAnsi="宋体" w:cs="宋体"/>
          <w:color w:val="000000"/>
        </w:rPr>
        <w:t>2.</w:t>
      </w:r>
      <w:r>
        <w:rPr>
          <w:rFonts w:hint="eastAsia" w:ascii="宋体" w:hAnsi="宋体" w:cs="宋体"/>
          <w:b/>
          <w:color w:val="1B1C1D"/>
        </w:rPr>
        <w:t>不得使用：</w:t>
      </w:r>
      <w:r>
        <w:rPr>
          <w:rFonts w:hint="eastAsia" w:ascii="宋体" w:hAnsi="宋体" w:cs="宋体"/>
          <w:color w:val="1B1C1D"/>
        </w:rPr>
        <w:t>不得为自身利益或任何第三方的利益，使用在甲方任职期间所知悉的商业秘密。尤其不得利用该商业秘密进行生产、经营、研发或为新任职单位提供任何建议。</w:t>
      </w:r>
    </w:p>
    <w:p w14:paraId="05202022">
      <w:pPr>
        <w:snapToGrid w:val="0"/>
        <w:ind w:firstLine="420" w:firstLineChars="200"/>
        <w:rPr>
          <w:rFonts w:ascii="宋体" w:hAnsi="宋体" w:cs="宋体"/>
        </w:rPr>
      </w:pPr>
      <w:r>
        <w:rPr>
          <w:rFonts w:hint="eastAsia" w:ascii="宋体" w:hAnsi="宋体" w:cs="宋体"/>
          <w:color w:val="000000"/>
        </w:rPr>
        <w:t>3.</w:t>
      </w:r>
      <w:r>
        <w:rPr>
          <w:rFonts w:hint="eastAsia" w:ascii="宋体" w:hAnsi="宋体" w:cs="宋体"/>
          <w:b/>
          <w:color w:val="1B1C1D"/>
        </w:rPr>
        <w:t>不得允许他人使用：</w:t>
      </w:r>
      <w:r>
        <w:rPr>
          <w:rFonts w:hint="eastAsia" w:ascii="宋体" w:hAnsi="宋体" w:cs="宋体"/>
          <w:color w:val="1B1C1D"/>
        </w:rPr>
        <w:t>不得允许、协助或引诱任何第三方使用甲方的商业秘密。</w:t>
      </w:r>
    </w:p>
    <w:p w14:paraId="4604EC3B">
      <w:pPr>
        <w:snapToGrid w:val="0"/>
        <w:ind w:firstLine="420" w:firstLineChars="200"/>
        <w:rPr>
          <w:rFonts w:ascii="宋体" w:hAnsi="宋体" w:cs="宋体"/>
        </w:rPr>
      </w:pPr>
      <w:r>
        <w:rPr>
          <w:rFonts w:hint="eastAsia" w:ascii="宋体" w:hAnsi="宋体" w:cs="宋体"/>
          <w:color w:val="000000"/>
        </w:rPr>
        <w:t>4.</w:t>
      </w:r>
      <w:r>
        <w:rPr>
          <w:rFonts w:hint="eastAsia" w:ascii="宋体" w:hAnsi="宋体" w:cs="宋体"/>
          <w:b/>
          <w:color w:val="1B1C1D"/>
        </w:rPr>
        <w:t>返还义务：</w:t>
      </w:r>
      <w:r>
        <w:rPr>
          <w:rFonts w:hint="eastAsia" w:ascii="宋体" w:hAnsi="宋体" w:cs="宋体"/>
          <w:color w:val="1B1C1D"/>
        </w:rPr>
        <w:t>乙方确认，已于离职时/签署本协议时，将所有记录、存储有甲方商业秘密的载体（包括但不限于文件、图纸、笔记、磁盘、U盘、移动硬盘等）及属于甲方的所有财产、设备全部返还给甲方，并彻底删除个人设备中存储的任何与甲方商业秘密相关的信息，不得私自保留、复制或备份。</w:t>
      </w:r>
    </w:p>
    <w:p w14:paraId="75059E69">
      <w:pPr>
        <w:snapToGrid w:val="0"/>
        <w:ind w:firstLine="422" w:firstLineChars="200"/>
        <w:rPr>
          <w:rFonts w:ascii="宋体" w:hAnsi="宋体" w:cs="宋体"/>
          <w:b/>
          <w:color w:val="1B1C1D"/>
        </w:rPr>
      </w:pPr>
      <w:r>
        <w:rPr>
          <w:rFonts w:hint="eastAsia" w:ascii="宋体" w:hAnsi="宋体" w:cs="宋体"/>
          <w:b/>
          <w:color w:val="1B1C1D"/>
        </w:rPr>
        <w:t>第三条 保密期限</w:t>
      </w:r>
    </w:p>
    <w:p w14:paraId="35FF823F">
      <w:pPr>
        <w:snapToGrid w:val="0"/>
        <w:ind w:firstLine="420" w:firstLineChars="200"/>
        <w:rPr>
          <w:rFonts w:ascii="宋体" w:hAnsi="宋体" w:cs="宋体"/>
          <w:color w:val="1B1C1D"/>
        </w:rPr>
      </w:pPr>
      <w:r>
        <w:rPr>
          <w:rFonts w:hint="eastAsia" w:ascii="宋体" w:hAnsi="宋体" w:cs="宋体"/>
          <w:color w:val="1B1C1D"/>
        </w:rPr>
        <w:t>双方确认，乙方的保密义务是持续性的。只要该信息仍属于甲方的商业秘密且未被公众所知悉，乙方的保密义务将无限期持续有效，不受劳动关系终止的影响。</w:t>
      </w:r>
    </w:p>
    <w:p w14:paraId="603F3C30">
      <w:pPr>
        <w:snapToGrid w:val="0"/>
        <w:ind w:firstLine="422" w:firstLineChars="200"/>
        <w:rPr>
          <w:rFonts w:ascii="宋体" w:hAnsi="宋体" w:cs="宋体"/>
          <w:b/>
          <w:color w:val="1B1C1D"/>
        </w:rPr>
      </w:pPr>
      <w:r>
        <w:rPr>
          <w:rFonts w:hint="eastAsia" w:ascii="宋体" w:hAnsi="宋体" w:cs="宋体"/>
          <w:b/>
          <w:color w:val="1B1C1D"/>
        </w:rPr>
        <w:t>第四条 违约责任</w:t>
      </w:r>
    </w:p>
    <w:p w14:paraId="284D6FF9">
      <w:pPr>
        <w:snapToGrid w:val="0"/>
        <w:ind w:firstLine="420" w:firstLineChars="200"/>
        <w:rPr>
          <w:rFonts w:ascii="宋体" w:hAnsi="宋体" w:cs="宋体"/>
        </w:rPr>
      </w:pPr>
      <w:r>
        <w:rPr>
          <w:rFonts w:hint="eastAsia" w:ascii="宋体" w:hAnsi="宋体" w:cs="宋体"/>
          <w:color w:val="000000"/>
        </w:rPr>
        <w:t>1.</w:t>
      </w:r>
      <w:r>
        <w:rPr>
          <w:rFonts w:hint="eastAsia" w:ascii="宋体" w:hAnsi="宋体" w:cs="宋体"/>
          <w:color w:val="1B1C1D"/>
        </w:rPr>
        <w:t xml:space="preserve">若乙方违反本协议项下的任何一项保密义务，应向甲方支付违约金人民币 </w:t>
      </w:r>
      <w:r>
        <w:rPr>
          <w:rFonts w:hint="eastAsia" w:ascii="宋体" w:hAnsi="宋体" w:cs="宋体"/>
          <w:b/>
          <w:color w:val="1B1C1D"/>
        </w:rPr>
        <w:t>[具体金额或计算方式，例如：乙方离职前十二个月的税前总收入]</w:t>
      </w:r>
      <w:r>
        <w:rPr>
          <w:rFonts w:hint="eastAsia" w:ascii="宋体" w:hAnsi="宋体" w:cs="宋体"/>
          <w:color w:val="1B1C1D"/>
        </w:rPr>
        <w:t xml:space="preserve"> 元。</w:t>
      </w:r>
    </w:p>
    <w:p w14:paraId="5F847741">
      <w:pPr>
        <w:snapToGrid w:val="0"/>
        <w:ind w:firstLine="420" w:firstLineChars="200"/>
        <w:rPr>
          <w:rFonts w:ascii="宋体" w:hAnsi="宋体" w:cs="宋体"/>
        </w:rPr>
      </w:pPr>
      <w:r>
        <w:rPr>
          <w:rFonts w:hint="eastAsia" w:ascii="宋体" w:hAnsi="宋体" w:cs="宋体"/>
          <w:color w:val="000000"/>
        </w:rPr>
        <w:t>2.</w:t>
      </w:r>
      <w:r>
        <w:rPr>
          <w:rFonts w:hint="eastAsia" w:ascii="宋体" w:hAnsi="宋体" w:cs="宋体"/>
          <w:color w:val="1B1C1D"/>
        </w:rPr>
        <w:t>若违约金不足以弥补甲方因此遭受的全部损失，乙方还应承担全部赔偿责任。甲方的损失包括但不限于：</w:t>
      </w:r>
    </w:p>
    <w:p w14:paraId="08494BD9">
      <w:pPr>
        <w:pStyle w:val="135"/>
      </w:pPr>
      <w:r>
        <w:rPr>
          <w:rFonts w:hint="eastAsia"/>
        </w:rPr>
        <w:t>因乙方违约行为导致的直接经济损失和可预期的利润损失；</w:t>
      </w:r>
    </w:p>
    <w:p w14:paraId="4FD702D9">
      <w:pPr>
        <w:pStyle w:val="135"/>
      </w:pPr>
      <w:r>
        <w:rPr>
          <w:rFonts w:hint="eastAsia"/>
        </w:rPr>
        <w:t>甲方为调查乙方的违约行为及维权所支付的合理费用，包括但不限于律师费、公证费、鉴定费、调查取证费、诉讼/仲裁费等。</w:t>
      </w:r>
    </w:p>
    <w:p w14:paraId="34B111E9">
      <w:pPr>
        <w:snapToGrid w:val="0"/>
        <w:ind w:firstLine="420" w:firstLineChars="200"/>
        <w:rPr>
          <w:rFonts w:ascii="宋体" w:hAnsi="宋体" w:cs="宋体"/>
        </w:rPr>
      </w:pPr>
      <w:r>
        <w:rPr>
          <w:rFonts w:hint="eastAsia" w:ascii="宋体" w:hAnsi="宋体" w:cs="宋体"/>
          <w:color w:val="000000"/>
        </w:rPr>
        <w:t>3.</w:t>
      </w:r>
      <w:r>
        <w:rPr>
          <w:rFonts w:hint="eastAsia" w:ascii="宋体" w:hAnsi="宋体" w:cs="宋体"/>
          <w:color w:val="1B1C1D"/>
        </w:rPr>
        <w:t>乙方因违约行为所获得的全部收益应归甲方所有。</w:t>
      </w:r>
    </w:p>
    <w:p w14:paraId="5592A736">
      <w:pPr>
        <w:snapToGrid w:val="0"/>
        <w:ind w:firstLine="422" w:firstLineChars="200"/>
        <w:rPr>
          <w:rFonts w:ascii="宋体" w:hAnsi="宋体" w:cs="宋体"/>
          <w:b/>
          <w:color w:val="1B1C1D"/>
        </w:rPr>
      </w:pPr>
      <w:r>
        <w:rPr>
          <w:rFonts w:hint="eastAsia" w:ascii="宋体" w:hAnsi="宋体" w:cs="宋体"/>
          <w:b/>
          <w:color w:val="1B1C1D"/>
        </w:rPr>
        <w:t>第五条 争议解决</w:t>
      </w:r>
    </w:p>
    <w:p w14:paraId="435F7933">
      <w:pPr>
        <w:snapToGrid w:val="0"/>
        <w:ind w:firstLine="420" w:firstLineChars="200"/>
        <w:rPr>
          <w:rFonts w:ascii="宋体" w:hAnsi="宋体" w:cs="宋体"/>
          <w:color w:val="1B1C1D"/>
        </w:rPr>
      </w:pPr>
      <w:r>
        <w:rPr>
          <w:rFonts w:hint="eastAsia" w:ascii="宋体" w:hAnsi="宋体" w:cs="宋体"/>
          <w:color w:val="1B1C1D"/>
        </w:rPr>
        <w:t>因履行本协议所发生的任何争议，双方应首先友好协商解决；协商不成的，任何一方均有权向甲方所在地有管辖权的人民法院提起诉讼。</w:t>
      </w:r>
    </w:p>
    <w:p w14:paraId="0B39ADD2">
      <w:pPr>
        <w:snapToGrid w:val="0"/>
        <w:ind w:firstLine="422" w:firstLineChars="200"/>
        <w:rPr>
          <w:rFonts w:ascii="宋体" w:hAnsi="宋体" w:cs="宋体"/>
          <w:b/>
          <w:color w:val="1B1C1D"/>
        </w:rPr>
      </w:pPr>
      <w:r>
        <w:rPr>
          <w:rFonts w:hint="eastAsia" w:ascii="宋体" w:hAnsi="宋体" w:cs="宋体"/>
          <w:b/>
          <w:color w:val="1B1C1D"/>
        </w:rPr>
        <w:t>第六条 其他</w:t>
      </w:r>
    </w:p>
    <w:p w14:paraId="514B346D">
      <w:pPr>
        <w:snapToGrid w:val="0"/>
        <w:ind w:firstLine="420" w:firstLineChars="200"/>
        <w:rPr>
          <w:rFonts w:ascii="宋体" w:hAnsi="宋体" w:cs="宋体"/>
        </w:rPr>
      </w:pPr>
      <w:r>
        <w:rPr>
          <w:rFonts w:hint="eastAsia" w:ascii="宋体" w:hAnsi="宋体" w:cs="宋体"/>
          <w:color w:val="000000"/>
        </w:rPr>
        <w:t>1.</w:t>
      </w:r>
      <w:r>
        <w:rPr>
          <w:rFonts w:hint="eastAsia" w:ascii="宋体" w:hAnsi="宋体" w:cs="宋体"/>
          <w:color w:val="1B1C1D"/>
        </w:rPr>
        <w:t>本协议是乙方基于其在职期间所承担的法定及约定的保密义务的重申和具体化，构成甲乙双方劳动关系相关协议的补充。</w:t>
      </w:r>
    </w:p>
    <w:p w14:paraId="18152211">
      <w:pPr>
        <w:snapToGrid w:val="0"/>
        <w:ind w:firstLine="420" w:firstLineChars="200"/>
        <w:rPr>
          <w:rFonts w:ascii="宋体" w:hAnsi="宋体" w:cs="宋体"/>
        </w:rPr>
      </w:pPr>
      <w:r>
        <w:rPr>
          <w:rFonts w:hint="eastAsia" w:ascii="宋体" w:hAnsi="宋体" w:cs="宋体"/>
          <w:color w:val="000000"/>
        </w:rPr>
        <w:t>2.</w:t>
      </w:r>
      <w:r>
        <w:rPr>
          <w:rFonts w:hint="eastAsia" w:ascii="宋体" w:hAnsi="宋体" w:cs="宋体"/>
          <w:color w:val="1B1C1D"/>
        </w:rPr>
        <w:t>本协议自双方签字或盖章之日起生效。</w:t>
      </w:r>
    </w:p>
    <w:p w14:paraId="0A273144">
      <w:pPr>
        <w:snapToGrid w:val="0"/>
        <w:ind w:firstLine="420" w:firstLineChars="200"/>
        <w:rPr>
          <w:rFonts w:ascii="宋体" w:hAnsi="宋体" w:cs="宋体"/>
        </w:rPr>
      </w:pPr>
      <w:r>
        <w:rPr>
          <w:rFonts w:hint="eastAsia" w:ascii="宋体" w:hAnsi="宋体" w:cs="宋体"/>
          <w:color w:val="000000"/>
        </w:rPr>
        <w:t>3.</w:t>
      </w:r>
      <w:r>
        <w:rPr>
          <w:rFonts w:hint="eastAsia" w:ascii="宋体" w:hAnsi="宋体" w:cs="宋体"/>
          <w:color w:val="1B1C1D"/>
        </w:rPr>
        <w:t>本协议一式两份，甲乙双方各执一份，具有同等法律效力。</w:t>
      </w:r>
    </w:p>
    <w:p w14:paraId="55EAEC5A">
      <w:pPr>
        <w:snapToGrid w:val="0"/>
        <w:ind w:firstLine="422" w:firstLineChars="200"/>
        <w:rPr>
          <w:rFonts w:ascii="宋体" w:hAnsi="宋体" w:cs="宋体"/>
          <w:b/>
          <w:color w:val="1B1C1D"/>
        </w:rPr>
      </w:pPr>
      <w:r>
        <w:rPr>
          <w:rFonts w:hint="eastAsia" w:ascii="宋体" w:hAnsi="宋体" w:cs="宋体"/>
          <w:b/>
          <w:color w:val="1B1C1D"/>
        </w:rPr>
        <w:t>（乙方已仔细阅读并完全理解本协议所有条款的含义，并自愿签署）</w:t>
      </w:r>
    </w:p>
    <w:p w14:paraId="765A8ABC">
      <w:pPr>
        <w:snapToGrid w:val="0"/>
        <w:spacing w:line="440" w:lineRule="exact"/>
        <w:ind w:firstLine="422" w:firstLineChars="200"/>
        <w:rPr>
          <w:rFonts w:ascii="宋体" w:hAnsi="宋体" w:cs="宋体"/>
          <w:b/>
          <w:color w:val="1B1C1D"/>
        </w:rPr>
      </w:pPr>
    </w:p>
    <w:p w14:paraId="23482494">
      <w:pPr>
        <w:snapToGrid w:val="0"/>
        <w:spacing w:line="440" w:lineRule="exact"/>
        <w:ind w:firstLine="422" w:firstLineChars="200"/>
        <w:rPr>
          <w:rFonts w:ascii="宋体" w:hAnsi="宋体" w:cs="宋体"/>
          <w:b/>
          <w:color w:val="1B1C1D"/>
        </w:rPr>
      </w:pPr>
      <w:r>
        <w:rPr>
          <w:rFonts w:hint="eastAsia" w:ascii="宋体" w:hAnsi="宋体" w:cs="宋体"/>
          <w:b/>
          <w:color w:val="1B1C1D"/>
        </w:rPr>
        <w:t>甲方（盖章）：</w:t>
      </w:r>
    </w:p>
    <w:p w14:paraId="35A187DA">
      <w:pPr>
        <w:snapToGrid w:val="0"/>
        <w:spacing w:line="440" w:lineRule="exact"/>
        <w:ind w:firstLine="420" w:firstLineChars="200"/>
        <w:rPr>
          <w:rFonts w:ascii="宋体" w:hAnsi="宋体" w:cs="宋体"/>
          <w:color w:val="1B1C1D"/>
          <w:u w:val="single"/>
        </w:rPr>
      </w:pPr>
      <w:r>
        <w:rPr>
          <w:rFonts w:hint="eastAsia" w:ascii="宋体" w:hAnsi="宋体" w:cs="宋体"/>
          <w:color w:val="1B1C1D"/>
        </w:rPr>
        <w:t>法定代表人或授权代表（签字）：</w:t>
      </w:r>
      <w:r>
        <w:rPr>
          <w:rFonts w:hint="eastAsia" w:ascii="宋体" w:hAnsi="宋体" w:cs="宋体"/>
          <w:color w:val="1B1C1D"/>
          <w:u w:val="single"/>
        </w:rPr>
        <w:t xml:space="preserve">              </w:t>
      </w:r>
    </w:p>
    <w:p w14:paraId="2BDB85A9">
      <w:pPr>
        <w:snapToGrid w:val="0"/>
        <w:spacing w:line="440" w:lineRule="exact"/>
        <w:ind w:firstLine="422" w:firstLineChars="200"/>
        <w:rPr>
          <w:rFonts w:ascii="宋体" w:hAnsi="宋体" w:cs="宋体"/>
          <w:color w:val="1B1C1D"/>
        </w:rPr>
      </w:pPr>
      <w:r>
        <w:rPr>
          <w:rFonts w:hint="eastAsia" w:ascii="宋体" w:hAnsi="宋体" w:cs="宋体"/>
          <w:b/>
          <w:color w:val="1B1C1D"/>
        </w:rPr>
        <w:t>乙方（签字）：</w:t>
      </w:r>
      <w:r>
        <w:rPr>
          <w:rFonts w:hint="eastAsia" w:ascii="宋体" w:hAnsi="宋体" w:cs="宋体"/>
          <w:color w:val="1B1C1D"/>
          <w:u w:val="single"/>
        </w:rPr>
        <w:t xml:space="preserve">                   </w:t>
      </w:r>
    </w:p>
    <w:p w14:paraId="1EA4EF41">
      <w:pPr>
        <w:snapToGrid w:val="0"/>
        <w:spacing w:line="440" w:lineRule="exact"/>
        <w:ind w:firstLine="422" w:firstLineChars="200"/>
        <w:rPr>
          <w:rFonts w:ascii="宋体" w:hAnsi="宋体" w:cs="宋体"/>
          <w:color w:val="1B1C1D"/>
        </w:rPr>
      </w:pPr>
      <w:r>
        <w:rPr>
          <w:rFonts w:hint="eastAsia" w:ascii="宋体" w:hAnsi="宋体" w:cs="宋体"/>
          <w:b/>
          <w:color w:val="1B1C1D"/>
        </w:rPr>
        <w:t>签署日期：</w:t>
      </w:r>
      <w:r>
        <w:rPr>
          <w:rFonts w:hint="eastAsia" w:ascii="宋体" w:hAnsi="宋体" w:cs="宋体"/>
          <w:color w:val="1B1C1D"/>
          <w:u w:val="single"/>
        </w:rPr>
        <w:t xml:space="preserve">         </w:t>
      </w:r>
      <w:r>
        <w:rPr>
          <w:rFonts w:hint="eastAsia" w:ascii="宋体" w:hAnsi="宋体" w:cs="宋体"/>
          <w:color w:val="1B1C1D"/>
        </w:rPr>
        <w:t>年</w:t>
      </w:r>
      <w:r>
        <w:rPr>
          <w:rFonts w:hint="eastAsia" w:ascii="宋体" w:hAnsi="宋体" w:cs="宋体"/>
          <w:color w:val="1B1C1D"/>
          <w:u w:val="single"/>
        </w:rPr>
        <w:t xml:space="preserve">    </w:t>
      </w:r>
      <w:r>
        <w:rPr>
          <w:rFonts w:hint="eastAsia" w:ascii="宋体" w:hAnsi="宋体" w:cs="宋体"/>
          <w:color w:val="1B1C1D"/>
        </w:rPr>
        <w:t>月</w:t>
      </w:r>
      <w:r>
        <w:rPr>
          <w:rFonts w:hint="eastAsia" w:ascii="宋体" w:hAnsi="宋体" w:cs="宋体"/>
          <w:color w:val="1B1C1D"/>
          <w:u w:val="single"/>
        </w:rPr>
        <w:t xml:space="preserve">    </w:t>
      </w:r>
      <w:r>
        <w:rPr>
          <w:rFonts w:hint="eastAsia" w:ascii="宋体" w:hAnsi="宋体" w:cs="宋体"/>
          <w:color w:val="1B1C1D"/>
        </w:rPr>
        <w:t>日</w:t>
      </w:r>
    </w:p>
    <w:bookmarkEnd w:id="350"/>
    <w:p w14:paraId="7DCBA4C2">
      <w:pPr>
        <w:rPr>
          <w:rFonts w:ascii="宋体" w:hAnsi="宋体" w:cs="宋体"/>
          <w:color w:val="1B1C1D"/>
        </w:rPr>
        <w:sectPr>
          <w:headerReference r:id="rId34" w:type="default"/>
          <w:footerReference r:id="rId36" w:type="default"/>
          <w:headerReference r:id="rId35" w:type="even"/>
          <w:footerReference r:id="rId37" w:type="even"/>
          <w:pgSz w:w="11906" w:h="16838"/>
          <w:pgMar w:top="1928" w:right="1134" w:bottom="1134" w:left="1134" w:header="1418" w:footer="1134" w:gutter="284"/>
          <w:cols w:space="425" w:num="1"/>
          <w:formProt w:val="0"/>
          <w:docGrid w:type="lines" w:linePitch="312" w:charSpace="0"/>
        </w:sectPr>
      </w:pPr>
      <w:bookmarkStart w:id="371" w:name="BookMark6"/>
    </w:p>
    <w:p w14:paraId="3EF43D5D">
      <w:pPr>
        <w:pStyle w:val="66"/>
        <w:spacing w:after="156"/>
      </w:pPr>
      <w:bookmarkStart w:id="372" w:name="_Toc214009873"/>
      <w:bookmarkStart w:id="373" w:name="_Toc16109"/>
      <w:bookmarkStart w:id="374" w:name="_Toc17411"/>
      <w:bookmarkStart w:id="375" w:name="_Toc214009906"/>
      <w:bookmarkStart w:id="376" w:name="_Toc219723722"/>
      <w:r>
        <w:rPr>
          <w:rFonts w:hint="eastAsia"/>
          <w:spacing w:val="105"/>
        </w:rPr>
        <w:t>参考文</w:t>
      </w:r>
      <w:r>
        <w:rPr>
          <w:rFonts w:hint="eastAsia"/>
        </w:rPr>
        <w:t>献</w:t>
      </w:r>
      <w:bookmarkEnd w:id="372"/>
      <w:bookmarkEnd w:id="373"/>
      <w:bookmarkEnd w:id="374"/>
      <w:bookmarkEnd w:id="375"/>
      <w:bookmarkEnd w:id="376"/>
    </w:p>
    <w:p w14:paraId="01DB2C20">
      <w:pPr>
        <w:pStyle w:val="59"/>
        <w:ind w:firstLine="420"/>
        <w:rPr>
          <w:rFonts w:ascii="宋体" w:hAnsi="宋体" w:cs="宋体"/>
          <w:snapToGrid w:val="0"/>
        </w:rPr>
      </w:pPr>
      <w:r>
        <w:rPr>
          <w:rFonts w:hint="eastAsia" w:ascii="宋体" w:hAnsi="宋体" w:cs="宋体"/>
          <w:snapToGrid w:val="0"/>
        </w:rPr>
        <w:t>[1]  GB/T 19001  质量管理体系 要求</w:t>
      </w:r>
    </w:p>
    <w:p w14:paraId="6D4B2233">
      <w:pPr>
        <w:pStyle w:val="59"/>
        <w:ind w:firstLine="420"/>
        <w:rPr>
          <w:rFonts w:ascii="宋体" w:hAnsi="宋体" w:cs="宋体"/>
          <w:snapToGrid w:val="0"/>
        </w:rPr>
      </w:pPr>
      <w:r>
        <w:rPr>
          <w:rFonts w:hint="eastAsia" w:ascii="宋体" w:hAnsi="宋体" w:cs="宋体"/>
          <w:snapToGrid w:val="0"/>
        </w:rPr>
        <w:t>[2]  GB/T 22080  信息技术 安全技术 信息安全管理体系 要求</w:t>
      </w:r>
    </w:p>
    <w:p w14:paraId="356D3470">
      <w:pPr>
        <w:pStyle w:val="59"/>
        <w:ind w:firstLine="420"/>
        <w:rPr>
          <w:rFonts w:ascii="宋体" w:hAnsi="宋体" w:cs="宋体"/>
          <w:snapToGrid w:val="0"/>
        </w:rPr>
      </w:pPr>
      <w:r>
        <w:rPr>
          <w:rFonts w:hint="eastAsia" w:ascii="宋体" w:hAnsi="宋体" w:cs="宋体"/>
          <w:snapToGrid w:val="0"/>
        </w:rPr>
        <w:t xml:space="preserve">[3]  GB/T 29490  企业知识产权合规管理体系 要求  </w:t>
      </w:r>
    </w:p>
    <w:p w14:paraId="77A90856">
      <w:pPr>
        <w:pStyle w:val="59"/>
        <w:ind w:firstLine="420"/>
        <w:rPr>
          <w:rFonts w:ascii="宋体" w:hAnsi="宋体" w:cs="宋体"/>
          <w:snapToGrid w:val="0"/>
        </w:rPr>
      </w:pPr>
      <w:r>
        <w:rPr>
          <w:rFonts w:hint="eastAsia" w:ascii="宋体" w:hAnsi="宋体" w:cs="宋体"/>
          <w:snapToGrid w:val="0"/>
        </w:rPr>
        <w:t>[4]  全国人民代表大会.中华人民共和国反不正当竞争法</w:t>
      </w:r>
    </w:p>
    <w:p w14:paraId="671C9EB0">
      <w:pPr>
        <w:pStyle w:val="59"/>
        <w:ind w:firstLine="420"/>
        <w:rPr>
          <w:rFonts w:ascii="宋体" w:hAnsi="宋体" w:cs="宋体"/>
          <w:snapToGrid w:val="0"/>
        </w:rPr>
      </w:pPr>
      <w:r>
        <w:rPr>
          <w:rFonts w:hint="eastAsia" w:ascii="宋体" w:hAnsi="宋体" w:cs="宋体"/>
          <w:snapToGrid w:val="0"/>
        </w:rPr>
        <w:t>[5]  最高人民法院.最高人民法院关于审理侵犯商业秘密民事案件适用法律若干问题的规定：法释〔2020〕7号</w:t>
      </w:r>
    </w:p>
    <w:p w14:paraId="6D453DA7">
      <w:pPr>
        <w:pStyle w:val="59"/>
        <w:ind w:firstLine="420"/>
        <w:rPr>
          <w:rFonts w:ascii="宋体" w:hAnsi="宋体" w:cs="宋体"/>
          <w:snapToGrid w:val="0"/>
        </w:rPr>
      </w:pPr>
      <w:r>
        <w:rPr>
          <w:rFonts w:hint="eastAsia" w:ascii="宋体" w:hAnsi="宋体" w:cs="宋体"/>
          <w:snapToGrid w:val="0"/>
        </w:rPr>
        <w:t>[6]  最高人民法院.最高人民法院关于审理劳动争议案件适用法律问题的解释（二）：法释〔2025〕</w:t>
      </w:r>
    </w:p>
    <w:p w14:paraId="16967A89">
      <w:pPr>
        <w:pStyle w:val="59"/>
        <w:ind w:firstLine="0" w:firstLineChars="0"/>
        <w:rPr>
          <w:rFonts w:ascii="宋体" w:hAnsi="宋体" w:cs="宋体"/>
          <w:snapToGrid w:val="0"/>
        </w:rPr>
      </w:pPr>
      <w:r>
        <w:rPr>
          <w:rFonts w:hint="eastAsia" w:ascii="宋体" w:hAnsi="宋体" w:cs="宋体"/>
          <w:snapToGrid w:val="0"/>
        </w:rPr>
        <w:t>12号</w:t>
      </w:r>
    </w:p>
    <w:p w14:paraId="5962958A">
      <w:pPr>
        <w:pStyle w:val="59"/>
        <w:ind w:firstLine="420"/>
        <w:rPr>
          <w:rFonts w:ascii="宋体" w:hAnsi="宋体" w:cs="宋体"/>
          <w:snapToGrid w:val="0"/>
        </w:rPr>
      </w:pPr>
      <w:r>
        <w:rPr>
          <w:rFonts w:hint="eastAsia" w:ascii="宋体" w:hAnsi="宋体" w:cs="宋体"/>
          <w:snapToGrid w:val="0"/>
        </w:rPr>
        <w:t>[7]  广东省市场监督管理局.广东省市场监督管理局关于经营者加强商业秘密保护指引</w:t>
      </w:r>
    </w:p>
    <w:p w14:paraId="210671C1">
      <w:pPr>
        <w:pStyle w:val="59"/>
        <w:ind w:firstLine="420"/>
      </w:pPr>
      <w:r>
        <w:rPr>
          <w:rFonts w:hint="eastAsia" w:ascii="宋体" w:hAnsi="宋体" w:cs="宋体"/>
          <w:snapToGrid w:val="0"/>
        </w:rPr>
        <w:t>[8]  广东省市场监督管理局.广东省市场监督管理局办公室关于开展重点企业商业秘密保护“五个一”建设行动的通知：粤市监办发〔2024〕959号</w:t>
      </w:r>
      <w:bookmarkEnd w:id="371"/>
    </w:p>
    <w:p w14:paraId="2BD447C1">
      <w:pPr>
        <w:pStyle w:val="59"/>
        <w:ind w:firstLine="0" w:firstLineChars="0"/>
        <w:jc w:val="center"/>
      </w:pPr>
      <w:bookmarkStart w:id="377" w:name="BookMark8"/>
      <w:r>
        <w:rPr>
          <w:rFonts w:hint="eastAsia"/>
        </w:rPr>
        <w:drawing>
          <wp:inline distT="0" distB="0" distL="114300" distR="114300">
            <wp:extent cx="1485900" cy="317500"/>
            <wp:effectExtent l="0" t="0" r="0" b="0"/>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44"/>
                    <a:stretch>
                      <a:fillRect/>
                    </a:stretch>
                  </pic:blipFill>
                  <pic:spPr>
                    <a:xfrm>
                      <a:off x="0" y="0"/>
                      <a:ext cx="1485900" cy="317500"/>
                    </a:xfrm>
                    <a:prstGeom prst="rect">
                      <a:avLst/>
                    </a:prstGeom>
                  </pic:spPr>
                </pic:pic>
              </a:graphicData>
            </a:graphic>
          </wp:inline>
        </w:drawing>
      </w:r>
      <w:bookmarkEnd w:id="377"/>
    </w:p>
    <w:sectPr>
      <w:headerReference r:id="rId38" w:type="default"/>
      <w:footerReference r:id="rId40" w:type="default"/>
      <w:headerReference r:id="rId39" w:type="even"/>
      <w:footerReference r:id="rId41"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151E8">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0D03">
    <w:pPr>
      <w:pStyle w:val="54"/>
    </w:pPr>
    <w:r>
      <w:fldChar w:fldCharType="begin"/>
    </w:r>
    <w:r>
      <w:instrText xml:space="preserve"> PAGE   \* MERGEFORMAT \* MERGEFORMAT </w:instrText>
    </w:r>
    <w:r>
      <w:fldChar w:fldCharType="separate"/>
    </w:r>
    <w:r>
      <w:t>14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68E0">
    <w:pPr>
      <w:pStyle w:val="55"/>
    </w:pPr>
    <w:r>
      <w:fldChar w:fldCharType="begin"/>
    </w:r>
    <w:r>
      <w:instrText xml:space="preserve">PAGE   \* MERGEFORMAT</w:instrText>
    </w:r>
    <w:r>
      <w:fldChar w:fldCharType="separate"/>
    </w:r>
    <w:r>
      <w:rPr>
        <w:lang w:val="zh-CN"/>
      </w:rPr>
      <w:t>17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F432">
    <w:pPr>
      <w:pStyle w:val="54"/>
    </w:pPr>
    <w:r>
      <w:fldChar w:fldCharType="begin"/>
    </w:r>
    <w:r>
      <w:instrText xml:space="preserve"> PAGE   \* MERGEFORMAT \* MERGEFORMAT </w:instrText>
    </w:r>
    <w:r>
      <w:fldChar w:fldCharType="separate"/>
    </w:r>
    <w:r>
      <w:t>16</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9BA1">
    <w:pPr>
      <w:pStyle w:val="55"/>
    </w:pPr>
    <w:r>
      <w:fldChar w:fldCharType="begin"/>
    </w:r>
    <w:r>
      <w:instrText xml:space="preserve">PAGE   \* MERGEFORMAT</w:instrText>
    </w:r>
    <w:r>
      <w:fldChar w:fldCharType="separate"/>
    </w:r>
    <w:r>
      <w:rPr>
        <w:lang w:val="zh-CN"/>
      </w:rPr>
      <w:t>21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CD18A">
    <w:pPr>
      <w:pStyle w:val="54"/>
    </w:pPr>
    <w:r>
      <w:fldChar w:fldCharType="begin"/>
    </w:r>
    <w:r>
      <w:instrText xml:space="preserve"> PAGE   \* MERGEFORMAT \* MERGEFORMAT </w:instrText>
    </w:r>
    <w:r>
      <w:fldChar w:fldCharType="separate"/>
    </w:r>
    <w:r>
      <w:t>22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B103">
    <w:pPr>
      <w:pStyle w:val="55"/>
    </w:pPr>
    <w:r>
      <w:fldChar w:fldCharType="begin"/>
    </w:r>
    <w:r>
      <w:instrText xml:space="preserve">PAGE   \* MERGEFORMAT</w:instrText>
    </w:r>
    <w:r>
      <w:fldChar w:fldCharType="separate"/>
    </w:r>
    <w:r>
      <w:rPr>
        <w:lang w:val="zh-CN"/>
      </w:rPr>
      <w:t>23</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2F67">
    <w:pPr>
      <w:pStyle w:val="54"/>
    </w:pPr>
    <w:r>
      <w:fldChar w:fldCharType="begin"/>
    </w:r>
    <w:r>
      <w:instrText xml:space="preserve"> PAGE   \* MERGEFORMAT \* MERGEFORMAT </w:instrText>
    </w:r>
    <w:r>
      <w:fldChar w:fldCharType="separate"/>
    </w:r>
    <w:r>
      <w:t>24</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8F940">
    <w:pPr>
      <w:pStyle w:val="55"/>
    </w:pPr>
    <w:r>
      <w:fldChar w:fldCharType="begin"/>
    </w:r>
    <w:r>
      <w:instrText xml:space="preserve">PAGE   \* MERGEFORMAT</w:instrText>
    </w:r>
    <w:r>
      <w:fldChar w:fldCharType="separate"/>
    </w:r>
    <w:r>
      <w:rPr>
        <w:lang w:val="zh-CN"/>
      </w:rPr>
      <w:t>25</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55C64">
    <w:pPr>
      <w:pStyle w:val="54"/>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E6D9D">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1B94B">
    <w:pPr>
      <w:pStyle w:val="55"/>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F52B">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E362">
    <w:pPr>
      <w:pStyle w:val="55"/>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6FB3">
    <w:pPr>
      <w:pStyle w:val="54"/>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B308">
    <w:pPr>
      <w:pStyle w:val="55"/>
    </w:pPr>
    <w:r>
      <w:fldChar w:fldCharType="begin"/>
    </w:r>
    <w:r>
      <w:instrText xml:space="preserve">PAGE   \* MERGEFORMAT</w:instrText>
    </w:r>
    <w:r>
      <w:fldChar w:fldCharType="separate"/>
    </w:r>
    <w:r>
      <w:rPr>
        <w:lang w:val="zh-CN"/>
      </w:rPr>
      <w:t>13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0CBE">
    <w:pPr>
      <w:pStyle w:val="54"/>
    </w:pPr>
    <w:r>
      <w:fldChar w:fldCharType="begin"/>
    </w:r>
    <w:r>
      <w:instrText xml:space="preserve"> PAGE   \* MERGEFORMAT \* MERGEFORMAT </w:instrText>
    </w:r>
    <w:r>
      <w:fldChar w:fldCharType="separate"/>
    </w:r>
    <w:r>
      <w:t>12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9F4C">
    <w:pPr>
      <w:pStyle w:val="55"/>
    </w:pPr>
    <w:r>
      <w:fldChar w:fldCharType="begin"/>
    </w:r>
    <w:r>
      <w:instrText xml:space="preserve">PAGE   \* MERGEFORMAT</w:instrText>
    </w:r>
    <w:r>
      <w:fldChar w:fldCharType="separate"/>
    </w:r>
    <w:r>
      <w:rPr>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9B0A">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7F122">
    <w:pPr>
      <w:pStyle w:val="64"/>
    </w:pPr>
    <w:r>
      <w:fldChar w:fldCharType="begin"/>
    </w:r>
    <w:r>
      <w:instrText xml:space="preserve"> STYLEREF  标准文件_文件编号  \* MERGEFORMAT </w:instrText>
    </w:r>
    <w:r>
      <w:fldChar w:fldCharType="separate"/>
    </w:r>
    <w:r>
      <w:t>DB44/T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3F3EE">
    <w:pPr>
      <w:pStyle w:val="65"/>
    </w:pPr>
    <w:r>
      <w:fldChar w:fldCharType="begin"/>
    </w:r>
    <w:r>
      <w:instrText xml:space="preserve"> STYLEREF  标准文件_文件编号 \* MERGEFORMAT </w:instrText>
    </w:r>
    <w:r>
      <w:fldChar w:fldCharType="separate"/>
    </w:r>
    <w:r>
      <w:t>DB44/T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CF590">
    <w:pPr>
      <w:pStyle w:val="64"/>
    </w:pPr>
    <w:r>
      <w:fldChar w:fldCharType="begin"/>
    </w:r>
    <w:r>
      <w:instrText xml:space="preserve"> STYLEREF  标准文件_文件编号  \* MERGEFORMAT </w:instrText>
    </w:r>
    <w:r>
      <w:fldChar w:fldCharType="separate"/>
    </w:r>
    <w:r>
      <w:t>DB44/T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61062">
    <w:pPr>
      <w:pStyle w:val="65"/>
    </w:pPr>
    <w:r>
      <w:fldChar w:fldCharType="begin"/>
    </w:r>
    <w:r>
      <w:instrText xml:space="preserve"> STYLEREF  标准文件_文件编号 \* MERGEFORMAT </w:instrText>
    </w:r>
    <w:r>
      <w:fldChar w:fldCharType="separate"/>
    </w:r>
    <w:r>
      <w:t>DB44/T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659B5">
    <w:pPr>
      <w:pStyle w:val="64"/>
    </w:pPr>
    <w:r>
      <w:fldChar w:fldCharType="begin"/>
    </w:r>
    <w:r>
      <w:instrText xml:space="preserve"> STYLEREF  标准文件_文件编号  \* MERGEFORMAT </w:instrText>
    </w:r>
    <w:r>
      <w:fldChar w:fldCharType="separate"/>
    </w:r>
    <w:r>
      <w:t>DB44/T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08BB">
    <w:pPr>
      <w:pStyle w:val="65"/>
    </w:pPr>
    <w:r>
      <w:fldChar w:fldCharType="begin"/>
    </w:r>
    <w:r>
      <w:instrText xml:space="preserve"> STYLEREF  标准文件_文件编号 \* MERGEFORMAT </w:instrText>
    </w:r>
    <w:r>
      <w:fldChar w:fldCharType="separate"/>
    </w:r>
    <w:r>
      <w:t>DB44/T XXXX—XXXX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883C">
    <w:pPr>
      <w:pStyle w:val="64"/>
    </w:pPr>
    <w:r>
      <w:fldChar w:fldCharType="begin"/>
    </w:r>
    <w:r>
      <w:instrText xml:space="preserve"> STYLEREF  标准文件_文件编号  \* MERGEFORMAT </w:instrText>
    </w:r>
    <w:r>
      <w:fldChar w:fldCharType="separate"/>
    </w:r>
    <w:r>
      <w:t>DB44/T XXXX—XXXX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DE35">
    <w:pPr>
      <w:pStyle w:val="65"/>
    </w:pPr>
    <w:r>
      <w:fldChar w:fldCharType="begin"/>
    </w:r>
    <w:r>
      <w:instrText xml:space="preserve"> STYLEREF  标准文件_文件编号 \* MERGEFORMAT </w:instrText>
    </w:r>
    <w:r>
      <w:fldChar w:fldCharType="separate"/>
    </w:r>
    <w:r>
      <w:t>DB44/T XXXX—XXXX</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74F87">
    <w:pPr>
      <w:pStyle w:val="64"/>
    </w:pPr>
    <w:r>
      <w:fldChar w:fldCharType="begin"/>
    </w:r>
    <w:r>
      <w:instrText xml:space="preserve"> STYLEREF  标准文件_文件编号  \* MERGEFORMAT </w:instrText>
    </w:r>
    <w:r>
      <w:fldChar w:fldCharType="separate"/>
    </w:r>
    <w:r>
      <w:t>DB44/T XXXX—XXXX</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47BA">
    <w:pPr>
      <w:pStyle w:val="65"/>
    </w:pPr>
    <w:r>
      <w:fldChar w:fldCharType="begin"/>
    </w:r>
    <w:r>
      <w:instrText xml:space="preserve"> STYLEREF  标准文件_文件编号 \* MERGEFORMAT </w:instrText>
    </w:r>
    <w:r>
      <w:fldChar w:fldCharType="separate"/>
    </w:r>
    <w:r>
      <w:t>DB44/T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3B85">
    <w:pPr>
      <w:pStyle w:val="65"/>
    </w:pPr>
    <w:r>
      <w:fldChar w:fldCharType="begin"/>
    </w:r>
    <w:r>
      <w:instrText xml:space="preserve"> STYLEREF  标准文件_文件编号 \* MERGEFORMAT </w:instrText>
    </w:r>
    <w:r>
      <w:fldChar w:fldCharType="separate"/>
    </w:r>
    <w:r>
      <w:t>DB44/T XXXX—XXXX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5B88">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BC8B5">
    <w:pPr>
      <w:pStyle w:val="64"/>
    </w:pPr>
    <w:r>
      <w:fldChar w:fldCharType="begin"/>
    </w:r>
    <w:r>
      <w:instrText xml:space="preserve"> STYLEREF  标准文件_文件编号  \* MERGEFORMAT </w:instrText>
    </w:r>
    <w:r>
      <w:fldChar w:fldCharType="separate"/>
    </w:r>
    <w:r>
      <w:t>DB44/T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EFC7">
    <w:pPr>
      <w:pStyle w:val="65"/>
    </w:pPr>
    <w:r>
      <w:fldChar w:fldCharType="begin"/>
    </w:r>
    <w:r>
      <w:instrText xml:space="preserve"> STYLEREF  标准文件_文件编号 \* MERGEFORMAT </w:instrText>
    </w:r>
    <w:r>
      <w:fldChar w:fldCharType="separate"/>
    </w:r>
    <w:r>
      <w:t>DB44/T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2EA03">
    <w:pPr>
      <w:pStyle w:val="64"/>
    </w:pPr>
    <w:r>
      <w:fldChar w:fldCharType="begin"/>
    </w:r>
    <w:r>
      <w:instrText xml:space="preserve"> STYLEREF  标准文件_文件编号  \* MERGEFORMAT </w:instrText>
    </w:r>
    <w:r>
      <w:fldChar w:fldCharType="separate"/>
    </w:r>
    <w:r>
      <w:t>DB44/T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B28E">
    <w:pPr>
      <w:pStyle w:val="65"/>
    </w:pPr>
    <w:r>
      <w:fldChar w:fldCharType="begin"/>
    </w:r>
    <w:r>
      <w:instrText xml:space="preserve"> STYLEREF  标准文件_文件编号 \* MERGEFORMAT </w:instrText>
    </w:r>
    <w:r>
      <w:fldChar w:fldCharType="separate"/>
    </w:r>
    <w:r>
      <w:t>DB44/T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9CA8">
    <w:pPr>
      <w:pStyle w:val="64"/>
    </w:pPr>
    <w:r>
      <w:fldChar w:fldCharType="begin"/>
    </w:r>
    <w:r>
      <w:instrText xml:space="preserve"> STYLEREF  标准文件_文件编号  \* MERGEFORMAT </w:instrText>
    </w:r>
    <w:r>
      <w:fldChar w:fldCharType="separate"/>
    </w:r>
    <w:r>
      <w:t>DB44/T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1053">
    <w:pPr>
      <w:pStyle w:val="65"/>
    </w:pPr>
    <w:r>
      <w:fldChar w:fldCharType="begin"/>
    </w:r>
    <w:r>
      <w:instrText xml:space="preserve"> STYLEREF  标准文件_文件编号 \* MERGEFORMAT </w:instrText>
    </w:r>
    <w:r>
      <w:fldChar w:fldCharType="separate"/>
    </w:r>
    <w:r>
      <w:t>DB44/T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FBFF2"/>
    <w:multiLevelType w:val="multilevel"/>
    <w:tmpl w:val="88FFBFF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8AAC1C17"/>
    <w:multiLevelType w:val="multilevel"/>
    <w:tmpl w:val="8AAC1C1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9938458A"/>
    <w:multiLevelType w:val="multilevel"/>
    <w:tmpl w:val="9938458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A38D96D9"/>
    <w:multiLevelType w:val="multilevel"/>
    <w:tmpl w:val="A38D96D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A629A934"/>
    <w:multiLevelType w:val="multilevel"/>
    <w:tmpl w:val="A629A93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AEBACC3B"/>
    <w:multiLevelType w:val="multilevel"/>
    <w:tmpl w:val="AEBACC3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B96B29C0"/>
    <w:multiLevelType w:val="multilevel"/>
    <w:tmpl w:val="B96B29C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C7FA4321"/>
    <w:multiLevelType w:val="multilevel"/>
    <w:tmpl w:val="C7FA432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DB23B887"/>
    <w:multiLevelType w:val="multilevel"/>
    <w:tmpl w:val="DB23B88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DD939AB5"/>
    <w:multiLevelType w:val="multilevel"/>
    <w:tmpl w:val="DD939AB5"/>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DECB0E04"/>
    <w:multiLevelType w:val="multilevel"/>
    <w:tmpl w:val="DECB0E0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EB2F0BA6"/>
    <w:multiLevelType w:val="multilevel"/>
    <w:tmpl w:val="EB2F0BA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F5489134"/>
    <w:multiLevelType w:val="multilevel"/>
    <w:tmpl w:val="F548913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517A7A4"/>
    <w:multiLevelType w:val="multilevel"/>
    <w:tmpl w:val="0517A7A4"/>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21">
    <w:nsid w:val="17AC3884"/>
    <w:multiLevelType w:val="multilevel"/>
    <w:tmpl w:val="17AC388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5">
    <w:nsid w:val="25ACEBAE"/>
    <w:multiLevelType w:val="multilevel"/>
    <w:tmpl w:val="25ACEBA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264C8A76"/>
    <w:multiLevelType w:val="multilevel"/>
    <w:tmpl w:val="264C8A7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8">
    <w:nsid w:val="30A3F8A0"/>
    <w:multiLevelType w:val="multilevel"/>
    <w:tmpl w:val="30A3F8A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36225EF0"/>
    <w:multiLevelType w:val="multilevel"/>
    <w:tmpl w:val="36225EF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407DC644"/>
    <w:multiLevelType w:val="multilevel"/>
    <w:tmpl w:val="407DC64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2">
    <w:nsid w:val="42E4D214"/>
    <w:multiLevelType w:val="multilevel"/>
    <w:tmpl w:val="42E4D21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46AC7D16"/>
    <w:multiLevelType w:val="multilevel"/>
    <w:tmpl w:val="46AC7D16"/>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4">
    <w:nsid w:val="657D3FBC"/>
    <w:multiLevelType w:val="multilevel"/>
    <w:tmpl w:val="657D3FBC"/>
    <w:lvl w:ilvl="0" w:tentative="0">
      <w:start w:val="1"/>
      <w:numFmt w:val="upperLetter"/>
      <w:pStyle w:val="79"/>
      <w:suff w:val="nothing"/>
      <w:lvlText w:val="附录%1"/>
      <w:lvlJc w:val="left"/>
      <w:pPr>
        <w:ind w:left="0" w:firstLine="0"/>
      </w:pPr>
      <w:rPr>
        <w:rFonts w:hint="default" w:ascii="黑体" w:hAnsi="黑体" w:eastAsia="黑体" w:cs="黑体"/>
        <w:b w:val="0"/>
        <w:spacing w:val="100"/>
        <w:sz w:val="21"/>
        <w:szCs w:val="21"/>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5">
    <w:nsid w:val="65B11F51"/>
    <w:multiLevelType w:val="multilevel"/>
    <w:tmpl w:val="65B11F5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6">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7">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0">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1">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2">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7BAE0EAC"/>
    <w:multiLevelType w:val="multilevel"/>
    <w:tmpl w:val="7BAE0EA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3"/>
  </w:num>
  <w:num w:numId="2">
    <w:abstractNumId w:val="49"/>
  </w:num>
  <w:num w:numId="3">
    <w:abstractNumId w:val="19"/>
  </w:num>
  <w:num w:numId="4">
    <w:abstractNumId w:val="44"/>
  </w:num>
  <w:num w:numId="5">
    <w:abstractNumId w:val="39"/>
  </w:num>
  <w:num w:numId="6">
    <w:abstractNumId w:val="34"/>
  </w:num>
  <w:num w:numId="7">
    <w:abstractNumId w:val="23"/>
  </w:num>
  <w:num w:numId="8">
    <w:abstractNumId w:val="17"/>
  </w:num>
  <w:num w:numId="9">
    <w:abstractNumId w:val="24"/>
  </w:num>
  <w:num w:numId="10">
    <w:abstractNumId w:val="37"/>
  </w:num>
  <w:num w:numId="11">
    <w:abstractNumId w:val="47"/>
  </w:num>
  <w:num w:numId="12">
    <w:abstractNumId w:val="29"/>
  </w:num>
  <w:num w:numId="13">
    <w:abstractNumId w:val="15"/>
  </w:num>
  <w:num w:numId="14">
    <w:abstractNumId w:val="22"/>
  </w:num>
  <w:num w:numId="15">
    <w:abstractNumId w:val="40"/>
  </w:num>
  <w:num w:numId="16">
    <w:abstractNumId w:val="42"/>
  </w:num>
  <w:num w:numId="17">
    <w:abstractNumId w:val="38"/>
  </w:num>
  <w:num w:numId="18">
    <w:abstractNumId w:val="51"/>
  </w:num>
  <w:num w:numId="19">
    <w:abstractNumId w:val="36"/>
  </w:num>
  <w:num w:numId="20">
    <w:abstractNumId w:val="14"/>
  </w:num>
  <w:num w:numId="21">
    <w:abstractNumId w:val="27"/>
  </w:num>
  <w:num w:numId="22">
    <w:abstractNumId w:val="52"/>
  </w:num>
  <w:num w:numId="23">
    <w:abstractNumId w:val="41"/>
  </w:num>
  <w:num w:numId="24">
    <w:abstractNumId w:val="20"/>
  </w:num>
  <w:num w:numId="25">
    <w:abstractNumId w:val="48"/>
  </w:num>
  <w:num w:numId="26">
    <w:abstractNumId w:val="50"/>
  </w:num>
  <w:num w:numId="27">
    <w:abstractNumId w:val="16"/>
  </w:num>
  <w:num w:numId="28">
    <w:abstractNumId w:val="18"/>
  </w:num>
  <w:num w:numId="29">
    <w:abstractNumId w:val="35"/>
  </w:num>
  <w:num w:numId="30">
    <w:abstractNumId w:val="46"/>
  </w:num>
  <w:num w:numId="31">
    <w:abstractNumId w:val="43"/>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1665D6"/>
    <w:rsid w:val="0000040A"/>
    <w:rsid w:val="00000A94"/>
    <w:rsid w:val="00001972"/>
    <w:rsid w:val="00001D9A"/>
    <w:rsid w:val="000047ED"/>
    <w:rsid w:val="00007B3A"/>
    <w:rsid w:val="000107E0"/>
    <w:rsid w:val="00011FDE"/>
    <w:rsid w:val="00012FFD"/>
    <w:rsid w:val="00014162"/>
    <w:rsid w:val="00014340"/>
    <w:rsid w:val="00016A9C"/>
    <w:rsid w:val="00022184"/>
    <w:rsid w:val="00022762"/>
    <w:rsid w:val="000238E0"/>
    <w:rsid w:val="000249DB"/>
    <w:rsid w:val="0002595E"/>
    <w:rsid w:val="000278C3"/>
    <w:rsid w:val="000303C3"/>
    <w:rsid w:val="000331D3"/>
    <w:rsid w:val="000346A5"/>
    <w:rsid w:val="000359C3"/>
    <w:rsid w:val="00035A7D"/>
    <w:rsid w:val="000365ED"/>
    <w:rsid w:val="0004249A"/>
    <w:rsid w:val="00043282"/>
    <w:rsid w:val="00044286"/>
    <w:rsid w:val="00047F28"/>
    <w:rsid w:val="00050004"/>
    <w:rsid w:val="000503AA"/>
    <w:rsid w:val="000506A1"/>
    <w:rsid w:val="000515DD"/>
    <w:rsid w:val="0005265A"/>
    <w:rsid w:val="000539DD"/>
    <w:rsid w:val="00053BD3"/>
    <w:rsid w:val="000556ED"/>
    <w:rsid w:val="00055FE2"/>
    <w:rsid w:val="0005616F"/>
    <w:rsid w:val="00060C2E"/>
    <w:rsid w:val="00061033"/>
    <w:rsid w:val="000619E9"/>
    <w:rsid w:val="000622D4"/>
    <w:rsid w:val="000622EF"/>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CAE"/>
    <w:rsid w:val="000A0EB8"/>
    <w:rsid w:val="000A19FC"/>
    <w:rsid w:val="000A296B"/>
    <w:rsid w:val="000A6FA3"/>
    <w:rsid w:val="000A7311"/>
    <w:rsid w:val="000B060F"/>
    <w:rsid w:val="000B1592"/>
    <w:rsid w:val="000B1FF2"/>
    <w:rsid w:val="000B3CDA"/>
    <w:rsid w:val="000B45DE"/>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572"/>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E39"/>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36D"/>
    <w:rsid w:val="0026148A"/>
    <w:rsid w:val="00262696"/>
    <w:rsid w:val="00263D25"/>
    <w:rsid w:val="002643C3"/>
    <w:rsid w:val="00264A0C"/>
    <w:rsid w:val="00266EEB"/>
    <w:rsid w:val="00267EF4"/>
    <w:rsid w:val="00270CB8"/>
    <w:rsid w:val="00272B08"/>
    <w:rsid w:val="002731A3"/>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920"/>
    <w:rsid w:val="002A4CEA"/>
    <w:rsid w:val="002A5977"/>
    <w:rsid w:val="002A5A13"/>
    <w:rsid w:val="002A757F"/>
    <w:rsid w:val="002A7F44"/>
    <w:rsid w:val="002B0C40"/>
    <w:rsid w:val="002B1966"/>
    <w:rsid w:val="002B4508"/>
    <w:rsid w:val="002B5779"/>
    <w:rsid w:val="002B6547"/>
    <w:rsid w:val="002B7332"/>
    <w:rsid w:val="002B7F51"/>
    <w:rsid w:val="002C09E7"/>
    <w:rsid w:val="002C1E06"/>
    <w:rsid w:val="002C1E1C"/>
    <w:rsid w:val="002C26F9"/>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348"/>
    <w:rsid w:val="003C5A43"/>
    <w:rsid w:val="003D0519"/>
    <w:rsid w:val="003D0FF6"/>
    <w:rsid w:val="003D262C"/>
    <w:rsid w:val="003D6D61"/>
    <w:rsid w:val="003D79C6"/>
    <w:rsid w:val="003E091D"/>
    <w:rsid w:val="003E1C53"/>
    <w:rsid w:val="003E2A69"/>
    <w:rsid w:val="003E2D49"/>
    <w:rsid w:val="003E2FD4"/>
    <w:rsid w:val="003E3498"/>
    <w:rsid w:val="003E49F6"/>
    <w:rsid w:val="003E660F"/>
    <w:rsid w:val="003F0841"/>
    <w:rsid w:val="003F23D3"/>
    <w:rsid w:val="003F3F08"/>
    <w:rsid w:val="003F49F1"/>
    <w:rsid w:val="003F6272"/>
    <w:rsid w:val="00400E72"/>
    <w:rsid w:val="00401400"/>
    <w:rsid w:val="00404869"/>
    <w:rsid w:val="00405884"/>
    <w:rsid w:val="00407D39"/>
    <w:rsid w:val="0041251B"/>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08BD"/>
    <w:rsid w:val="004C1FBC"/>
    <w:rsid w:val="004C3F1D"/>
    <w:rsid w:val="004C458D"/>
    <w:rsid w:val="004C7556"/>
    <w:rsid w:val="004C7E8B"/>
    <w:rsid w:val="004C7E9D"/>
    <w:rsid w:val="004C7F67"/>
    <w:rsid w:val="004D076D"/>
    <w:rsid w:val="004D0EF1"/>
    <w:rsid w:val="004D1655"/>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FD1"/>
    <w:rsid w:val="00512F6E"/>
    <w:rsid w:val="00513038"/>
    <w:rsid w:val="00514174"/>
    <w:rsid w:val="00516088"/>
    <w:rsid w:val="00516B0B"/>
    <w:rsid w:val="005220EC"/>
    <w:rsid w:val="00523F95"/>
    <w:rsid w:val="00524D65"/>
    <w:rsid w:val="00525B16"/>
    <w:rsid w:val="00533749"/>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16C"/>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95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580C"/>
    <w:rsid w:val="006F03A8"/>
    <w:rsid w:val="006F2ACA"/>
    <w:rsid w:val="006F2ADC"/>
    <w:rsid w:val="006F2BFE"/>
    <w:rsid w:val="006F31E9"/>
    <w:rsid w:val="006F6284"/>
    <w:rsid w:val="007002C5"/>
    <w:rsid w:val="00704387"/>
    <w:rsid w:val="00705F6B"/>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D7E4E"/>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070D"/>
    <w:rsid w:val="0083348C"/>
    <w:rsid w:val="00834973"/>
    <w:rsid w:val="008373D3"/>
    <w:rsid w:val="00840617"/>
    <w:rsid w:val="00840F84"/>
    <w:rsid w:val="00842A47"/>
    <w:rsid w:val="00843C13"/>
    <w:rsid w:val="008454F8"/>
    <w:rsid w:val="0085173A"/>
    <w:rsid w:val="00856316"/>
    <w:rsid w:val="00857A2C"/>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983"/>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6758E"/>
    <w:rsid w:val="00970CDC"/>
    <w:rsid w:val="00977010"/>
    <w:rsid w:val="00977D02"/>
    <w:rsid w:val="009809BB"/>
    <w:rsid w:val="009827A7"/>
    <w:rsid w:val="0098364B"/>
    <w:rsid w:val="009873AA"/>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2DA8"/>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988"/>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0D98"/>
    <w:rsid w:val="00A723F8"/>
    <w:rsid w:val="00A77CCB"/>
    <w:rsid w:val="00A83D8D"/>
    <w:rsid w:val="00A8446B"/>
    <w:rsid w:val="00A8473F"/>
    <w:rsid w:val="00A862D6"/>
    <w:rsid w:val="00A8715E"/>
    <w:rsid w:val="00A9295B"/>
    <w:rsid w:val="00A93B09"/>
    <w:rsid w:val="00A94247"/>
    <w:rsid w:val="00A952D7"/>
    <w:rsid w:val="00A963F7"/>
    <w:rsid w:val="00A966C6"/>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297"/>
    <w:rsid w:val="00AE37E5"/>
    <w:rsid w:val="00AE5EB4"/>
    <w:rsid w:val="00AF0C18"/>
    <w:rsid w:val="00AF47C5"/>
    <w:rsid w:val="00AF5398"/>
    <w:rsid w:val="00AF73AD"/>
    <w:rsid w:val="00B049AF"/>
    <w:rsid w:val="00B07242"/>
    <w:rsid w:val="00B10534"/>
    <w:rsid w:val="00B113DB"/>
    <w:rsid w:val="00B11D8A"/>
    <w:rsid w:val="00B12981"/>
    <w:rsid w:val="00B12A30"/>
    <w:rsid w:val="00B147DD"/>
    <w:rsid w:val="00B156FD"/>
    <w:rsid w:val="00B21F61"/>
    <w:rsid w:val="00B261F1"/>
    <w:rsid w:val="00B265BC"/>
    <w:rsid w:val="00B31FB1"/>
    <w:rsid w:val="00B3215E"/>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1A0D"/>
    <w:rsid w:val="00B827A6"/>
    <w:rsid w:val="00B831CE"/>
    <w:rsid w:val="00B86677"/>
    <w:rsid w:val="00B87131"/>
    <w:rsid w:val="00B939B1"/>
    <w:rsid w:val="00B96D40"/>
    <w:rsid w:val="00B97386"/>
    <w:rsid w:val="00BA0A44"/>
    <w:rsid w:val="00BA120F"/>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140"/>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A56"/>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6451"/>
    <w:rsid w:val="00D6301E"/>
    <w:rsid w:val="00D66846"/>
    <w:rsid w:val="00D675FB"/>
    <w:rsid w:val="00D710E1"/>
    <w:rsid w:val="00D71F25"/>
    <w:rsid w:val="00D72A9C"/>
    <w:rsid w:val="00D77031"/>
    <w:rsid w:val="00D84941"/>
    <w:rsid w:val="00D84FA1"/>
    <w:rsid w:val="00D851F0"/>
    <w:rsid w:val="00D86DB7"/>
    <w:rsid w:val="00D926D0"/>
    <w:rsid w:val="00D93030"/>
    <w:rsid w:val="00D950E1"/>
    <w:rsid w:val="00D952A6"/>
    <w:rsid w:val="00D95EB4"/>
    <w:rsid w:val="00D97F99"/>
    <w:rsid w:val="00DA016E"/>
    <w:rsid w:val="00DA1E08"/>
    <w:rsid w:val="00DA24F8"/>
    <w:rsid w:val="00DA28E8"/>
    <w:rsid w:val="00DA38D3"/>
    <w:rsid w:val="00DA3932"/>
    <w:rsid w:val="00DA3AFC"/>
    <w:rsid w:val="00DA5191"/>
    <w:rsid w:val="00DA64F8"/>
    <w:rsid w:val="00DA6C15"/>
    <w:rsid w:val="00DB0258"/>
    <w:rsid w:val="00DB38EE"/>
    <w:rsid w:val="00DB45FE"/>
    <w:rsid w:val="00DB498B"/>
    <w:rsid w:val="00DB66CA"/>
    <w:rsid w:val="00DB6BCA"/>
    <w:rsid w:val="00DB73F7"/>
    <w:rsid w:val="00DC0321"/>
    <w:rsid w:val="00DC3067"/>
    <w:rsid w:val="00DC370B"/>
    <w:rsid w:val="00DC5B90"/>
    <w:rsid w:val="00DC74C8"/>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2965"/>
    <w:rsid w:val="00E15CCD"/>
    <w:rsid w:val="00E202EF"/>
    <w:rsid w:val="00E210B5"/>
    <w:rsid w:val="00E23D99"/>
    <w:rsid w:val="00E2552F"/>
    <w:rsid w:val="00E27AFE"/>
    <w:rsid w:val="00E3093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3CEE"/>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205D"/>
    <w:rsid w:val="00EE54A6"/>
    <w:rsid w:val="00EE613F"/>
    <w:rsid w:val="00EE6216"/>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8B4"/>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217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ACC"/>
    <w:rsid w:val="00FF5B99"/>
    <w:rsid w:val="00FF5F76"/>
    <w:rsid w:val="00FF730C"/>
    <w:rsid w:val="00FF73F4"/>
    <w:rsid w:val="00FF7CE4"/>
    <w:rsid w:val="00FF7E39"/>
    <w:rsid w:val="010D5A7A"/>
    <w:rsid w:val="017C5080"/>
    <w:rsid w:val="019C263F"/>
    <w:rsid w:val="01E67E96"/>
    <w:rsid w:val="01F9035B"/>
    <w:rsid w:val="020C5825"/>
    <w:rsid w:val="028421AF"/>
    <w:rsid w:val="02CB5BF7"/>
    <w:rsid w:val="033A3FD2"/>
    <w:rsid w:val="03951CCE"/>
    <w:rsid w:val="03A00637"/>
    <w:rsid w:val="03A14F72"/>
    <w:rsid w:val="040D00EE"/>
    <w:rsid w:val="047C7D3D"/>
    <w:rsid w:val="04C133B2"/>
    <w:rsid w:val="04D71075"/>
    <w:rsid w:val="053B6099"/>
    <w:rsid w:val="054D1EE7"/>
    <w:rsid w:val="05C4143E"/>
    <w:rsid w:val="05CC3A35"/>
    <w:rsid w:val="060774EA"/>
    <w:rsid w:val="060A5E13"/>
    <w:rsid w:val="06500E91"/>
    <w:rsid w:val="066A56DF"/>
    <w:rsid w:val="06B86A37"/>
    <w:rsid w:val="07191282"/>
    <w:rsid w:val="0758131C"/>
    <w:rsid w:val="07C942B5"/>
    <w:rsid w:val="082D6FB0"/>
    <w:rsid w:val="08797947"/>
    <w:rsid w:val="08A2799E"/>
    <w:rsid w:val="08CB7964"/>
    <w:rsid w:val="094D0C6D"/>
    <w:rsid w:val="099D7B2F"/>
    <w:rsid w:val="099E7044"/>
    <w:rsid w:val="09C83435"/>
    <w:rsid w:val="09D566BC"/>
    <w:rsid w:val="0A804DA9"/>
    <w:rsid w:val="0A976C67"/>
    <w:rsid w:val="0AA621FA"/>
    <w:rsid w:val="0AAD3DD9"/>
    <w:rsid w:val="0AC0235E"/>
    <w:rsid w:val="0AC80670"/>
    <w:rsid w:val="0B605C0D"/>
    <w:rsid w:val="0BAB2EEC"/>
    <w:rsid w:val="0C201306"/>
    <w:rsid w:val="0CBE28CD"/>
    <w:rsid w:val="0D0E5602"/>
    <w:rsid w:val="0D144FFA"/>
    <w:rsid w:val="0D5F3A62"/>
    <w:rsid w:val="0D634291"/>
    <w:rsid w:val="0D8476AE"/>
    <w:rsid w:val="0E1F28CF"/>
    <w:rsid w:val="0E36443C"/>
    <w:rsid w:val="0E3935C9"/>
    <w:rsid w:val="0E415563"/>
    <w:rsid w:val="0E702923"/>
    <w:rsid w:val="0F6267E7"/>
    <w:rsid w:val="0FC74F9C"/>
    <w:rsid w:val="0FD70997"/>
    <w:rsid w:val="110566BD"/>
    <w:rsid w:val="11063E57"/>
    <w:rsid w:val="11167A62"/>
    <w:rsid w:val="113038FF"/>
    <w:rsid w:val="114B6653"/>
    <w:rsid w:val="117F0582"/>
    <w:rsid w:val="11886388"/>
    <w:rsid w:val="119A0EF0"/>
    <w:rsid w:val="11B322D4"/>
    <w:rsid w:val="11C65737"/>
    <w:rsid w:val="11D54941"/>
    <w:rsid w:val="11EE6723"/>
    <w:rsid w:val="12251A7F"/>
    <w:rsid w:val="123665CF"/>
    <w:rsid w:val="12996C11"/>
    <w:rsid w:val="12AA36D7"/>
    <w:rsid w:val="12B13C67"/>
    <w:rsid w:val="12BB58E4"/>
    <w:rsid w:val="12EB3CF0"/>
    <w:rsid w:val="12FC3A67"/>
    <w:rsid w:val="13016F1F"/>
    <w:rsid w:val="132E09AA"/>
    <w:rsid w:val="136174ED"/>
    <w:rsid w:val="13622204"/>
    <w:rsid w:val="13EF13A5"/>
    <w:rsid w:val="13F44ABE"/>
    <w:rsid w:val="144B092E"/>
    <w:rsid w:val="15932CE4"/>
    <w:rsid w:val="15DE18EA"/>
    <w:rsid w:val="16124A80"/>
    <w:rsid w:val="162E5371"/>
    <w:rsid w:val="16622CEF"/>
    <w:rsid w:val="1675076B"/>
    <w:rsid w:val="172C2361"/>
    <w:rsid w:val="17BB0590"/>
    <w:rsid w:val="17DD3410"/>
    <w:rsid w:val="17E7717C"/>
    <w:rsid w:val="17FD51E2"/>
    <w:rsid w:val="1821268E"/>
    <w:rsid w:val="186C0551"/>
    <w:rsid w:val="18822A00"/>
    <w:rsid w:val="188E66C6"/>
    <w:rsid w:val="18C43521"/>
    <w:rsid w:val="18DF5C8A"/>
    <w:rsid w:val="1A2664F0"/>
    <w:rsid w:val="1A5C0C2F"/>
    <w:rsid w:val="1B0C4A03"/>
    <w:rsid w:val="1B16062A"/>
    <w:rsid w:val="1B4A3EC6"/>
    <w:rsid w:val="1B9852A9"/>
    <w:rsid w:val="1BC4342C"/>
    <w:rsid w:val="1BE2318D"/>
    <w:rsid w:val="1C567043"/>
    <w:rsid w:val="1CAA0881"/>
    <w:rsid w:val="1CAA7D83"/>
    <w:rsid w:val="1CAB7512"/>
    <w:rsid w:val="1CE343B6"/>
    <w:rsid w:val="1CF25035"/>
    <w:rsid w:val="1D157C5C"/>
    <w:rsid w:val="1D2F2EA2"/>
    <w:rsid w:val="1DB12064"/>
    <w:rsid w:val="1DBB171E"/>
    <w:rsid w:val="1DC45F0B"/>
    <w:rsid w:val="1DE63A32"/>
    <w:rsid w:val="1E032835"/>
    <w:rsid w:val="1E345ADF"/>
    <w:rsid w:val="1E4D1A56"/>
    <w:rsid w:val="1E7F5DEE"/>
    <w:rsid w:val="1FF94387"/>
    <w:rsid w:val="20016901"/>
    <w:rsid w:val="20107F24"/>
    <w:rsid w:val="20713F2A"/>
    <w:rsid w:val="20C24552"/>
    <w:rsid w:val="20C84600"/>
    <w:rsid w:val="21291ABE"/>
    <w:rsid w:val="215F060C"/>
    <w:rsid w:val="219A41A7"/>
    <w:rsid w:val="21C319CB"/>
    <w:rsid w:val="226655E4"/>
    <w:rsid w:val="226937D9"/>
    <w:rsid w:val="226F6779"/>
    <w:rsid w:val="22792CC5"/>
    <w:rsid w:val="22AC1F65"/>
    <w:rsid w:val="22ED7C37"/>
    <w:rsid w:val="22FD71EF"/>
    <w:rsid w:val="235D69C1"/>
    <w:rsid w:val="23CB1519"/>
    <w:rsid w:val="24280139"/>
    <w:rsid w:val="242C7BF8"/>
    <w:rsid w:val="247B5967"/>
    <w:rsid w:val="24E16D01"/>
    <w:rsid w:val="24E71EA8"/>
    <w:rsid w:val="25090B7B"/>
    <w:rsid w:val="254807B8"/>
    <w:rsid w:val="25562EE0"/>
    <w:rsid w:val="25B76407"/>
    <w:rsid w:val="25D16C36"/>
    <w:rsid w:val="25ED15E5"/>
    <w:rsid w:val="25F203BA"/>
    <w:rsid w:val="26380C58"/>
    <w:rsid w:val="26382E44"/>
    <w:rsid w:val="26417352"/>
    <w:rsid w:val="265C30AF"/>
    <w:rsid w:val="268A5A28"/>
    <w:rsid w:val="26C542AE"/>
    <w:rsid w:val="27505355"/>
    <w:rsid w:val="27535970"/>
    <w:rsid w:val="27977708"/>
    <w:rsid w:val="279A7846"/>
    <w:rsid w:val="27C02A4C"/>
    <w:rsid w:val="27DB358F"/>
    <w:rsid w:val="27E90CCC"/>
    <w:rsid w:val="28642123"/>
    <w:rsid w:val="28884F9B"/>
    <w:rsid w:val="28C30B9A"/>
    <w:rsid w:val="28DD6BD2"/>
    <w:rsid w:val="28DD74FF"/>
    <w:rsid w:val="28E05C4D"/>
    <w:rsid w:val="2936341D"/>
    <w:rsid w:val="29430801"/>
    <w:rsid w:val="294B6F92"/>
    <w:rsid w:val="29CA5F53"/>
    <w:rsid w:val="29D044F2"/>
    <w:rsid w:val="29E32440"/>
    <w:rsid w:val="29F15AF3"/>
    <w:rsid w:val="29F80D74"/>
    <w:rsid w:val="2A361FCD"/>
    <w:rsid w:val="2AB23356"/>
    <w:rsid w:val="2AC67201"/>
    <w:rsid w:val="2ACC213E"/>
    <w:rsid w:val="2C7D05BA"/>
    <w:rsid w:val="2C804246"/>
    <w:rsid w:val="2C8B2374"/>
    <w:rsid w:val="2CAF182B"/>
    <w:rsid w:val="2CFB12A7"/>
    <w:rsid w:val="2D0D5606"/>
    <w:rsid w:val="2D5D63FB"/>
    <w:rsid w:val="2D61729A"/>
    <w:rsid w:val="2D9139BA"/>
    <w:rsid w:val="2D946EB2"/>
    <w:rsid w:val="2DEE0B8D"/>
    <w:rsid w:val="2DEE2313"/>
    <w:rsid w:val="2E486BDA"/>
    <w:rsid w:val="2E7301A0"/>
    <w:rsid w:val="2EA7014A"/>
    <w:rsid w:val="2F10090E"/>
    <w:rsid w:val="2F2B74F6"/>
    <w:rsid w:val="2F75142A"/>
    <w:rsid w:val="2F8B4A44"/>
    <w:rsid w:val="2F8C70F7"/>
    <w:rsid w:val="2FA87533"/>
    <w:rsid w:val="2FD21E0F"/>
    <w:rsid w:val="2FD87543"/>
    <w:rsid w:val="2FEC3129"/>
    <w:rsid w:val="30197C97"/>
    <w:rsid w:val="30965D5F"/>
    <w:rsid w:val="30C20A05"/>
    <w:rsid w:val="30C3435C"/>
    <w:rsid w:val="30C63EEE"/>
    <w:rsid w:val="30D37893"/>
    <w:rsid w:val="30DB0D5E"/>
    <w:rsid w:val="30EE2104"/>
    <w:rsid w:val="30EF4FF2"/>
    <w:rsid w:val="30F72252"/>
    <w:rsid w:val="3127060C"/>
    <w:rsid w:val="318B1C70"/>
    <w:rsid w:val="31AC7935"/>
    <w:rsid w:val="31AF08B2"/>
    <w:rsid w:val="323D0044"/>
    <w:rsid w:val="32565BFD"/>
    <w:rsid w:val="32C0155F"/>
    <w:rsid w:val="32DA5D30"/>
    <w:rsid w:val="32EA16CC"/>
    <w:rsid w:val="33131E56"/>
    <w:rsid w:val="33387440"/>
    <w:rsid w:val="34A04C16"/>
    <w:rsid w:val="34A86B2E"/>
    <w:rsid w:val="34AA2D9C"/>
    <w:rsid w:val="34CA77B1"/>
    <w:rsid w:val="34D33CB2"/>
    <w:rsid w:val="3544561E"/>
    <w:rsid w:val="357F53E2"/>
    <w:rsid w:val="3592554A"/>
    <w:rsid w:val="35C74E92"/>
    <w:rsid w:val="35D412B7"/>
    <w:rsid w:val="35EB02AC"/>
    <w:rsid w:val="3689648F"/>
    <w:rsid w:val="36965B9D"/>
    <w:rsid w:val="36BE7795"/>
    <w:rsid w:val="36FF3565"/>
    <w:rsid w:val="3727713D"/>
    <w:rsid w:val="3744384B"/>
    <w:rsid w:val="3753564B"/>
    <w:rsid w:val="37B67EF6"/>
    <w:rsid w:val="37DD19E4"/>
    <w:rsid w:val="37E56DDC"/>
    <w:rsid w:val="381F1BC2"/>
    <w:rsid w:val="3832323A"/>
    <w:rsid w:val="389F3CC3"/>
    <w:rsid w:val="390460D4"/>
    <w:rsid w:val="39171C32"/>
    <w:rsid w:val="3969383E"/>
    <w:rsid w:val="396C0E37"/>
    <w:rsid w:val="39825E89"/>
    <w:rsid w:val="39AB77A6"/>
    <w:rsid w:val="39AF02DA"/>
    <w:rsid w:val="39EE7F18"/>
    <w:rsid w:val="3A0478A0"/>
    <w:rsid w:val="3AE710BD"/>
    <w:rsid w:val="3B626996"/>
    <w:rsid w:val="3B65390F"/>
    <w:rsid w:val="3BBC42F8"/>
    <w:rsid w:val="3BC8525E"/>
    <w:rsid w:val="3C2541D5"/>
    <w:rsid w:val="3C2A67D5"/>
    <w:rsid w:val="3C357B15"/>
    <w:rsid w:val="3C5D6BAB"/>
    <w:rsid w:val="3C9E0E8D"/>
    <w:rsid w:val="3CBC6C67"/>
    <w:rsid w:val="3CEB56CB"/>
    <w:rsid w:val="3CF4186F"/>
    <w:rsid w:val="3D113CCB"/>
    <w:rsid w:val="3D241785"/>
    <w:rsid w:val="3D4A5E08"/>
    <w:rsid w:val="3D845783"/>
    <w:rsid w:val="3E01608A"/>
    <w:rsid w:val="3E0755D2"/>
    <w:rsid w:val="3E087BDF"/>
    <w:rsid w:val="3E154961"/>
    <w:rsid w:val="3E590FF3"/>
    <w:rsid w:val="3E7569E0"/>
    <w:rsid w:val="3EA3354D"/>
    <w:rsid w:val="3F106FBE"/>
    <w:rsid w:val="3F3B0FBC"/>
    <w:rsid w:val="3F516B05"/>
    <w:rsid w:val="3F715999"/>
    <w:rsid w:val="3F8778B0"/>
    <w:rsid w:val="3FD04CC4"/>
    <w:rsid w:val="3FFC1E7A"/>
    <w:rsid w:val="40172382"/>
    <w:rsid w:val="402F4D5C"/>
    <w:rsid w:val="404D761A"/>
    <w:rsid w:val="406960D0"/>
    <w:rsid w:val="40827192"/>
    <w:rsid w:val="40C45FCA"/>
    <w:rsid w:val="40D554B7"/>
    <w:rsid w:val="410A1661"/>
    <w:rsid w:val="41543994"/>
    <w:rsid w:val="41635F54"/>
    <w:rsid w:val="416E4A4B"/>
    <w:rsid w:val="41B94883"/>
    <w:rsid w:val="41E719A3"/>
    <w:rsid w:val="41F23423"/>
    <w:rsid w:val="42052448"/>
    <w:rsid w:val="42674891"/>
    <w:rsid w:val="426E5C20"/>
    <w:rsid w:val="42927B60"/>
    <w:rsid w:val="42BB226C"/>
    <w:rsid w:val="42CB0B06"/>
    <w:rsid w:val="433C726B"/>
    <w:rsid w:val="437337B0"/>
    <w:rsid w:val="44432E6B"/>
    <w:rsid w:val="445F4788"/>
    <w:rsid w:val="449936F9"/>
    <w:rsid w:val="449F0313"/>
    <w:rsid w:val="44C7428D"/>
    <w:rsid w:val="45513635"/>
    <w:rsid w:val="45555209"/>
    <w:rsid w:val="45B60940"/>
    <w:rsid w:val="45B669A0"/>
    <w:rsid w:val="4607616F"/>
    <w:rsid w:val="463D6E5E"/>
    <w:rsid w:val="465E2493"/>
    <w:rsid w:val="46B04013"/>
    <w:rsid w:val="47500D06"/>
    <w:rsid w:val="4757246D"/>
    <w:rsid w:val="47590C4D"/>
    <w:rsid w:val="477F62DC"/>
    <w:rsid w:val="4886147B"/>
    <w:rsid w:val="48B06F92"/>
    <w:rsid w:val="4905046F"/>
    <w:rsid w:val="491665D6"/>
    <w:rsid w:val="49382AE4"/>
    <w:rsid w:val="49655F9F"/>
    <w:rsid w:val="497A0E3D"/>
    <w:rsid w:val="499C55D1"/>
    <w:rsid w:val="49C11094"/>
    <w:rsid w:val="4A50517C"/>
    <w:rsid w:val="4A601F5F"/>
    <w:rsid w:val="4A621AA2"/>
    <w:rsid w:val="4AAA13C6"/>
    <w:rsid w:val="4ABE2A8F"/>
    <w:rsid w:val="4ACA1E61"/>
    <w:rsid w:val="4AF86D59"/>
    <w:rsid w:val="4B0E2932"/>
    <w:rsid w:val="4B261567"/>
    <w:rsid w:val="4B3312E3"/>
    <w:rsid w:val="4B3A5807"/>
    <w:rsid w:val="4B9A5F43"/>
    <w:rsid w:val="4BA4541B"/>
    <w:rsid w:val="4BB4047E"/>
    <w:rsid w:val="4BE62CCB"/>
    <w:rsid w:val="4BF7130F"/>
    <w:rsid w:val="4C325F63"/>
    <w:rsid w:val="4C3618DB"/>
    <w:rsid w:val="4C912C37"/>
    <w:rsid w:val="4C924C68"/>
    <w:rsid w:val="4CA87F80"/>
    <w:rsid w:val="4D07114B"/>
    <w:rsid w:val="4DE85341"/>
    <w:rsid w:val="4E4A12EF"/>
    <w:rsid w:val="4E6734DF"/>
    <w:rsid w:val="4EA1232D"/>
    <w:rsid w:val="4F682C5F"/>
    <w:rsid w:val="4F961843"/>
    <w:rsid w:val="4FA2515B"/>
    <w:rsid w:val="4FC54F06"/>
    <w:rsid w:val="4FCF73E3"/>
    <w:rsid w:val="4FD36294"/>
    <w:rsid w:val="500E4CA2"/>
    <w:rsid w:val="504A56ED"/>
    <w:rsid w:val="506F7E58"/>
    <w:rsid w:val="507B2CC5"/>
    <w:rsid w:val="50FB0D74"/>
    <w:rsid w:val="515661FD"/>
    <w:rsid w:val="51682463"/>
    <w:rsid w:val="51851D47"/>
    <w:rsid w:val="518A7776"/>
    <w:rsid w:val="51936959"/>
    <w:rsid w:val="51BB20EF"/>
    <w:rsid w:val="51FE1126"/>
    <w:rsid w:val="52064694"/>
    <w:rsid w:val="527728CF"/>
    <w:rsid w:val="52A01E26"/>
    <w:rsid w:val="52D233C4"/>
    <w:rsid w:val="52D457A0"/>
    <w:rsid w:val="52ED1031"/>
    <w:rsid w:val="52EF6909"/>
    <w:rsid w:val="53C9162F"/>
    <w:rsid w:val="540463E4"/>
    <w:rsid w:val="543D4B61"/>
    <w:rsid w:val="54613836"/>
    <w:rsid w:val="54C067AF"/>
    <w:rsid w:val="54C235F7"/>
    <w:rsid w:val="54E76F89"/>
    <w:rsid w:val="55680D0F"/>
    <w:rsid w:val="55997464"/>
    <w:rsid w:val="559E1D52"/>
    <w:rsid w:val="55E1726C"/>
    <w:rsid w:val="55E2360E"/>
    <w:rsid w:val="56024EB1"/>
    <w:rsid w:val="56760C41"/>
    <w:rsid w:val="56ED13B1"/>
    <w:rsid w:val="56F06A34"/>
    <w:rsid w:val="56F72230"/>
    <w:rsid w:val="571B10B9"/>
    <w:rsid w:val="575D6684"/>
    <w:rsid w:val="57621DFE"/>
    <w:rsid w:val="57932527"/>
    <w:rsid w:val="57BF4B66"/>
    <w:rsid w:val="57DF2535"/>
    <w:rsid w:val="57F239CD"/>
    <w:rsid w:val="58013F2A"/>
    <w:rsid w:val="58125365"/>
    <w:rsid w:val="582622A0"/>
    <w:rsid w:val="587B288B"/>
    <w:rsid w:val="58837786"/>
    <w:rsid w:val="58883BC4"/>
    <w:rsid w:val="58AA49CA"/>
    <w:rsid w:val="59303FCE"/>
    <w:rsid w:val="59457ADD"/>
    <w:rsid w:val="595B6AA6"/>
    <w:rsid w:val="59E5050C"/>
    <w:rsid w:val="59F24CD7"/>
    <w:rsid w:val="5A2C6645"/>
    <w:rsid w:val="5A5F6122"/>
    <w:rsid w:val="5AA47945"/>
    <w:rsid w:val="5AA87785"/>
    <w:rsid w:val="5B2A59BC"/>
    <w:rsid w:val="5B9A3766"/>
    <w:rsid w:val="5BD22E98"/>
    <w:rsid w:val="5BE51A34"/>
    <w:rsid w:val="5BEB3A1C"/>
    <w:rsid w:val="5BF3746A"/>
    <w:rsid w:val="5C0D1E32"/>
    <w:rsid w:val="5C327EA3"/>
    <w:rsid w:val="5CB0531F"/>
    <w:rsid w:val="5D066D29"/>
    <w:rsid w:val="5D134289"/>
    <w:rsid w:val="5D4A611E"/>
    <w:rsid w:val="5D9154E0"/>
    <w:rsid w:val="5DB624E3"/>
    <w:rsid w:val="5E0E0168"/>
    <w:rsid w:val="5E27164D"/>
    <w:rsid w:val="5E457D25"/>
    <w:rsid w:val="5E64306E"/>
    <w:rsid w:val="5E9A0B62"/>
    <w:rsid w:val="5EBC3160"/>
    <w:rsid w:val="5EC05B97"/>
    <w:rsid w:val="5EC865DE"/>
    <w:rsid w:val="5EEC01A1"/>
    <w:rsid w:val="5F235711"/>
    <w:rsid w:val="5F31188A"/>
    <w:rsid w:val="5F4C1E8F"/>
    <w:rsid w:val="5FE66BFD"/>
    <w:rsid w:val="5FF945E1"/>
    <w:rsid w:val="60072077"/>
    <w:rsid w:val="60594A54"/>
    <w:rsid w:val="608A13F7"/>
    <w:rsid w:val="60C93264"/>
    <w:rsid w:val="612C6F7A"/>
    <w:rsid w:val="61351A8E"/>
    <w:rsid w:val="61863F1D"/>
    <w:rsid w:val="61E22B21"/>
    <w:rsid w:val="62797F9D"/>
    <w:rsid w:val="62C54678"/>
    <w:rsid w:val="62F00906"/>
    <w:rsid w:val="634D7918"/>
    <w:rsid w:val="638679E6"/>
    <w:rsid w:val="638B61DA"/>
    <w:rsid w:val="63953FA2"/>
    <w:rsid w:val="641303BA"/>
    <w:rsid w:val="641E1F1F"/>
    <w:rsid w:val="647023E5"/>
    <w:rsid w:val="647E043F"/>
    <w:rsid w:val="64A418A6"/>
    <w:rsid w:val="64CD09EF"/>
    <w:rsid w:val="64D05306"/>
    <w:rsid w:val="64DF0A6E"/>
    <w:rsid w:val="65966B95"/>
    <w:rsid w:val="65A4488A"/>
    <w:rsid w:val="65BA4B55"/>
    <w:rsid w:val="65E26D96"/>
    <w:rsid w:val="65E34BDD"/>
    <w:rsid w:val="662445B5"/>
    <w:rsid w:val="665B7879"/>
    <w:rsid w:val="66831E15"/>
    <w:rsid w:val="66846255"/>
    <w:rsid w:val="66AA2BD8"/>
    <w:rsid w:val="66AF4876"/>
    <w:rsid w:val="66BA2932"/>
    <w:rsid w:val="66D0702B"/>
    <w:rsid w:val="66ED0F5A"/>
    <w:rsid w:val="672F4561"/>
    <w:rsid w:val="67447AC7"/>
    <w:rsid w:val="674E63A6"/>
    <w:rsid w:val="676E5CDE"/>
    <w:rsid w:val="67712C1B"/>
    <w:rsid w:val="67915D89"/>
    <w:rsid w:val="679603F7"/>
    <w:rsid w:val="67E91530"/>
    <w:rsid w:val="67F40A94"/>
    <w:rsid w:val="68077FD0"/>
    <w:rsid w:val="683B5ACF"/>
    <w:rsid w:val="68420AD5"/>
    <w:rsid w:val="68460921"/>
    <w:rsid w:val="687A4A6F"/>
    <w:rsid w:val="68A37795"/>
    <w:rsid w:val="691C1682"/>
    <w:rsid w:val="693370F8"/>
    <w:rsid w:val="694350DD"/>
    <w:rsid w:val="69B55D5F"/>
    <w:rsid w:val="69F00B0E"/>
    <w:rsid w:val="69F4452F"/>
    <w:rsid w:val="6A6D03E7"/>
    <w:rsid w:val="6A76270C"/>
    <w:rsid w:val="6A885065"/>
    <w:rsid w:val="6A907CE1"/>
    <w:rsid w:val="6AAB3AF5"/>
    <w:rsid w:val="6B0D3978"/>
    <w:rsid w:val="6B9C7F3B"/>
    <w:rsid w:val="6BC623D5"/>
    <w:rsid w:val="6BEB7BC8"/>
    <w:rsid w:val="6BFB610C"/>
    <w:rsid w:val="6C2E004A"/>
    <w:rsid w:val="6C36297B"/>
    <w:rsid w:val="6C50274F"/>
    <w:rsid w:val="6C645930"/>
    <w:rsid w:val="6C757A27"/>
    <w:rsid w:val="6CCF1843"/>
    <w:rsid w:val="6CF7604F"/>
    <w:rsid w:val="6D3978A6"/>
    <w:rsid w:val="6D6261FE"/>
    <w:rsid w:val="6D7601E8"/>
    <w:rsid w:val="6DF17D01"/>
    <w:rsid w:val="6DFDE106"/>
    <w:rsid w:val="6E5C0DAB"/>
    <w:rsid w:val="6EF32E85"/>
    <w:rsid w:val="6F140283"/>
    <w:rsid w:val="6F383C64"/>
    <w:rsid w:val="6FA2019F"/>
    <w:rsid w:val="6FAB7356"/>
    <w:rsid w:val="6FB5018B"/>
    <w:rsid w:val="6FB81D5C"/>
    <w:rsid w:val="6FDF7847"/>
    <w:rsid w:val="701E7147"/>
    <w:rsid w:val="70810852"/>
    <w:rsid w:val="70C90342"/>
    <w:rsid w:val="713C3AD8"/>
    <w:rsid w:val="7156438B"/>
    <w:rsid w:val="71D258DF"/>
    <w:rsid w:val="72676837"/>
    <w:rsid w:val="72891C45"/>
    <w:rsid w:val="72D36E98"/>
    <w:rsid w:val="72D61BF3"/>
    <w:rsid w:val="72DB5586"/>
    <w:rsid w:val="733E64EA"/>
    <w:rsid w:val="73435753"/>
    <w:rsid w:val="735306FA"/>
    <w:rsid w:val="73B40A84"/>
    <w:rsid w:val="73D272D0"/>
    <w:rsid w:val="746C7002"/>
    <w:rsid w:val="74C371B6"/>
    <w:rsid w:val="74F37503"/>
    <w:rsid w:val="75091D7A"/>
    <w:rsid w:val="751D5543"/>
    <w:rsid w:val="75AF0111"/>
    <w:rsid w:val="75C772FE"/>
    <w:rsid w:val="761756AB"/>
    <w:rsid w:val="761E2589"/>
    <w:rsid w:val="76375B88"/>
    <w:rsid w:val="76F37DC0"/>
    <w:rsid w:val="771A45AF"/>
    <w:rsid w:val="771B7EF5"/>
    <w:rsid w:val="7733CD87"/>
    <w:rsid w:val="77505319"/>
    <w:rsid w:val="776C7C79"/>
    <w:rsid w:val="77C45CCD"/>
    <w:rsid w:val="77CE2A64"/>
    <w:rsid w:val="77DF0CE9"/>
    <w:rsid w:val="77FA0BEE"/>
    <w:rsid w:val="78271F7F"/>
    <w:rsid w:val="7856314F"/>
    <w:rsid w:val="78995B15"/>
    <w:rsid w:val="78C03322"/>
    <w:rsid w:val="78E140A2"/>
    <w:rsid w:val="793547C6"/>
    <w:rsid w:val="79A62881"/>
    <w:rsid w:val="79DC0A50"/>
    <w:rsid w:val="79DF2801"/>
    <w:rsid w:val="7A2D25F0"/>
    <w:rsid w:val="7A4859B3"/>
    <w:rsid w:val="7AA008BF"/>
    <w:rsid w:val="7AAD5160"/>
    <w:rsid w:val="7AB817B0"/>
    <w:rsid w:val="7ABE07EB"/>
    <w:rsid w:val="7AF17D74"/>
    <w:rsid w:val="7B1C099D"/>
    <w:rsid w:val="7B1C1982"/>
    <w:rsid w:val="7BDE948D"/>
    <w:rsid w:val="7C5C4FA4"/>
    <w:rsid w:val="7C6529AE"/>
    <w:rsid w:val="7C877261"/>
    <w:rsid w:val="7CDE4ACE"/>
    <w:rsid w:val="7DF2712A"/>
    <w:rsid w:val="7E594BAE"/>
    <w:rsid w:val="7E980196"/>
    <w:rsid w:val="7EC837CE"/>
    <w:rsid w:val="7EE2719E"/>
    <w:rsid w:val="7F227B81"/>
    <w:rsid w:val="7F356C56"/>
    <w:rsid w:val="7F422439"/>
    <w:rsid w:val="7F5D3B66"/>
    <w:rsid w:val="7FC02871"/>
    <w:rsid w:val="7FE56F96"/>
    <w:rsid w:val="7FE9550D"/>
    <w:rsid w:val="EB972E32"/>
    <w:rsid w:val="FF73F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sz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7"/>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Times New Roman"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style>
  <w:style w:type="paragraph" w:customStyle="1" w:styleId="192">
    <w:name w:val="标准文件_一级项2"/>
    <w:basedOn w:val="59"/>
    <w:qFormat/>
    <w:uiPriority w:val="0"/>
    <w:pPr>
      <w:numPr>
        <w:ilvl w:val="0"/>
        <w:numId w:val="31"/>
      </w:numPr>
      <w:spacing w:line="300" w:lineRule="exact"/>
      <w:ind w:firstLineChars="0"/>
    </w:p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glossaryDocument" Target="glossary/document.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2.jpeg"/><Relationship Id="rId43" Type="http://schemas.openxmlformats.org/officeDocument/2006/relationships/image" Target="media/image1.tiff"/><Relationship Id="rId42" Type="http://schemas.openxmlformats.org/officeDocument/2006/relationships/theme" Target="theme/theme1.xml"/><Relationship Id="rId41" Type="http://schemas.openxmlformats.org/officeDocument/2006/relationships/footer" Target="footer18.xml"/><Relationship Id="rId40" Type="http://schemas.openxmlformats.org/officeDocument/2006/relationships/footer" Target="footer17.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A38090058141E5BCF867FEE79180DC"/>
        <w:style w:val=""/>
        <w:category>
          <w:name w:val="常规"/>
          <w:gallery w:val="placeholder"/>
        </w:category>
        <w:types>
          <w:type w:val="bbPlcHdr"/>
        </w:types>
        <w:behaviors>
          <w:behavior w:val="content"/>
        </w:behaviors>
        <w:description w:val=""/>
        <w:guid w:val="{3E435CD4-A942-486C-B99C-687EB01641D9}"/>
      </w:docPartPr>
      <w:docPartBody>
        <w:p w14:paraId="506E123B">
          <w:pPr>
            <w:pStyle w:val="5"/>
          </w:pPr>
          <w:r>
            <w:rPr>
              <w:rStyle w:val="4"/>
              <w:rFonts w:hint="eastAsia"/>
            </w:rPr>
            <w:t>单击或点击此处输入文字。</w:t>
          </w:r>
        </w:p>
      </w:docPartBody>
    </w:docPart>
    <w:docPart>
      <w:docPartPr>
        <w:name w:val="83ACEA082902419DAEC754314F0D2502"/>
        <w:style w:val=""/>
        <w:category>
          <w:name w:val="常规"/>
          <w:gallery w:val="placeholder"/>
        </w:category>
        <w:types>
          <w:type w:val="bbPlcHdr"/>
        </w:types>
        <w:behaviors>
          <w:behavior w:val="content"/>
        </w:behaviors>
        <w:description w:val=""/>
        <w:guid w:val="{EAB02F69-0057-4016-B783-9EFBE6ED4674}"/>
      </w:docPartPr>
      <w:docPartBody>
        <w:p w14:paraId="75F12844">
          <w:pPr>
            <w:pStyle w:val="6"/>
          </w:pPr>
          <w:r>
            <w:rPr>
              <w:rStyle w:val="4"/>
              <w:rFonts w:hint="eastAsia"/>
            </w:rPr>
            <w:t>选择一项。</w:t>
          </w:r>
        </w:p>
      </w:docPartBody>
    </w:docPart>
    <w:docPart>
      <w:docPartPr>
        <w:name w:val="1300A4C75D794D6291D16A5282D6F457"/>
        <w:style w:val=""/>
        <w:category>
          <w:name w:val="常规"/>
          <w:gallery w:val="placeholder"/>
        </w:category>
        <w:types>
          <w:type w:val="bbPlcHdr"/>
        </w:types>
        <w:behaviors>
          <w:behavior w:val="content"/>
        </w:behaviors>
        <w:description w:val=""/>
        <w:guid w:val="{57C2592D-AC40-4B99-9ED8-C705F3CB6DF5}"/>
      </w:docPartPr>
      <w:docPartBody>
        <w:p w14:paraId="5175CF05">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D5"/>
    <w:rsid w:val="000C2812"/>
    <w:rsid w:val="000D1098"/>
    <w:rsid w:val="0014630A"/>
    <w:rsid w:val="002727F2"/>
    <w:rsid w:val="004340A5"/>
    <w:rsid w:val="004673F1"/>
    <w:rsid w:val="004A60D1"/>
    <w:rsid w:val="00553A8F"/>
    <w:rsid w:val="005853E7"/>
    <w:rsid w:val="006C7ED8"/>
    <w:rsid w:val="006E1FDF"/>
    <w:rsid w:val="00702BF1"/>
    <w:rsid w:val="00733747"/>
    <w:rsid w:val="00805F80"/>
    <w:rsid w:val="00856894"/>
    <w:rsid w:val="00904EF6"/>
    <w:rsid w:val="009C0B4E"/>
    <w:rsid w:val="00A73B42"/>
    <w:rsid w:val="00A946B2"/>
    <w:rsid w:val="00AE161C"/>
    <w:rsid w:val="00B2693C"/>
    <w:rsid w:val="00B416FA"/>
    <w:rsid w:val="00B562D4"/>
    <w:rsid w:val="00CE1EC6"/>
    <w:rsid w:val="00D404E6"/>
    <w:rsid w:val="00E02B91"/>
    <w:rsid w:val="00E5095D"/>
    <w:rsid w:val="00F203D5"/>
    <w:rsid w:val="00F40BEB"/>
    <w:rsid w:val="00F7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A38090058141E5BCF867FEE79180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3ACEA082902419DAEC754314F0D25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300A4C75D794D6291D16A5282D6F4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13913</Words>
  <Characters>14169</Characters>
  <Lines>152</Lines>
  <Paragraphs>42</Paragraphs>
  <TotalTime>82</TotalTime>
  <ScaleCrop>false</ScaleCrop>
  <LinksUpToDate>false</LinksUpToDate>
  <CharactersWithSpaces>15221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2025-11-14T18:50:00Z</dcterms:created>
  <dc:creator>珠海标准与编码</dc:creator>
  <cp:lastModifiedBy>珠海标准与编码</cp:lastModifiedBy>
  <cp:lastPrinted>2025-07-17T03:17:00Z</cp:lastPrinted>
  <dcterms:modified xsi:type="dcterms:W3CDTF">2026-01-19T08:37:52Z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1147412BC95C4F8CACC9C21FA9A6D970_13</vt:lpwstr>
  </property>
  <property fmtid="{D5CDD505-2E9C-101B-9397-08002B2CF9AE}" pid="15" name="KSOTemplateDocerSaveRecord">
    <vt:lpwstr>eyJoZGlkIjoiOTI2NzM2NDFmOWYxN2RjNTY3Y2M2OGQ3NzczOTg5MGEiLCJ1c2VySWQiOiIzNTYxNDk4NDAifQ==</vt:lpwstr>
  </property>
  <property fmtid="{D5CDD505-2E9C-101B-9397-08002B2CF9AE}" pid="16" name="KSOProductBuildVer">
    <vt:lpwstr>2052-12.1.0.24657</vt:lpwstr>
  </property>
  <property fmtid="{D5CDD505-2E9C-101B-9397-08002B2CF9AE}" pid="17" name="DoublePage">
    <vt:lpwstr>true</vt:lpwstr>
  </property>
</Properties>
</file>